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97C1">
      <w:pPr>
        <w:pStyle w:val="23"/>
        <w:adjustRightInd w:val="0"/>
        <w:snapToGrid w:val="0"/>
        <w:spacing w:before="340" w:after="340"/>
        <w:rPr>
          <w:color w:val="000000"/>
          <w:sz w:val="36"/>
          <w:szCs w:val="36"/>
        </w:rPr>
      </w:pPr>
      <w:bookmarkStart w:id="0" w:name="_Toc9085"/>
      <w:bookmarkStart w:id="1" w:name="_Toc9677"/>
      <w:bookmarkStart w:id="2" w:name="_Toc14810"/>
      <w:r>
        <w:rPr>
          <w:rFonts w:hint="eastAsia" w:ascii="Times New Roman"/>
          <w:color w:val="000000"/>
          <w:sz w:val="36"/>
          <w:szCs w:val="36"/>
        </w:rPr>
        <w:t>中华人民共和国</w:t>
      </w:r>
      <w:r>
        <w:rPr>
          <w:color w:val="000000"/>
          <w:sz w:val="36"/>
          <w:szCs w:val="36"/>
        </w:rPr>
        <w:t>农业行业标准</w:t>
      </w:r>
      <w:bookmarkEnd w:id="0"/>
      <w:bookmarkEnd w:id="1"/>
      <w:bookmarkEnd w:id="2"/>
    </w:p>
    <w:p w14:paraId="0CB4841C">
      <w:pPr>
        <w:jc w:val="center"/>
        <w:rPr>
          <w:rFonts w:ascii="华文中宋" w:hAnsi="华文中宋" w:eastAsia="华文中宋" w:cs="华文中宋"/>
          <w:color w:val="000000"/>
          <w:sz w:val="32"/>
          <w:szCs w:val="32"/>
        </w:rPr>
      </w:pPr>
    </w:p>
    <w:p w14:paraId="043CD41B">
      <w:pPr>
        <w:jc w:val="center"/>
        <w:rPr>
          <w:rFonts w:ascii="华文中宋" w:hAnsi="华文中宋" w:eastAsia="华文中宋" w:cs="华文中宋"/>
          <w:color w:val="000000"/>
          <w:sz w:val="32"/>
          <w:szCs w:val="32"/>
        </w:rPr>
      </w:pPr>
    </w:p>
    <w:p w14:paraId="2CA1D08C">
      <w:pPr>
        <w:jc w:val="center"/>
        <w:rPr>
          <w:rFonts w:ascii="华文中宋" w:hAnsi="华文中宋" w:eastAsia="华文中宋" w:cs="华文中宋"/>
          <w:color w:val="000000"/>
          <w:spacing w:val="-4"/>
          <w:sz w:val="32"/>
          <w:szCs w:val="32"/>
        </w:rPr>
      </w:pPr>
      <w:r>
        <w:rPr>
          <w:rFonts w:hint="eastAsia" w:ascii="华文中宋" w:hAnsi="华文中宋" w:eastAsia="华文中宋" w:cs="华文中宋"/>
          <w:color w:val="000000"/>
          <w:spacing w:val="-4"/>
          <w:sz w:val="32"/>
          <w:szCs w:val="32"/>
        </w:rPr>
        <w:t>《</w:t>
      </w:r>
      <w:r>
        <w:rPr>
          <w:rFonts w:hint="eastAsia" w:eastAsia="华文中宋"/>
          <w:b/>
          <w:bCs/>
          <w:color w:val="000000"/>
          <w:spacing w:val="-4"/>
          <w:sz w:val="32"/>
          <w:szCs w:val="32"/>
        </w:rPr>
        <w:t>农业废水田间消纳设施工程建设技术标准</w:t>
      </w:r>
      <w:r>
        <w:rPr>
          <w:rFonts w:hint="eastAsia" w:ascii="华文中宋" w:hAnsi="华文中宋" w:eastAsia="华文中宋" w:cs="华文中宋"/>
          <w:color w:val="000000"/>
          <w:spacing w:val="-4"/>
          <w:sz w:val="32"/>
          <w:szCs w:val="32"/>
        </w:rPr>
        <w:t>》</w:t>
      </w:r>
    </w:p>
    <w:p w14:paraId="56CA624D">
      <w:pPr>
        <w:jc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（征求意见稿）</w:t>
      </w:r>
    </w:p>
    <w:p w14:paraId="2D29FCD7">
      <w:pPr>
        <w:snapToGrid w:val="0"/>
        <w:jc w:val="center"/>
        <w:rPr>
          <w:rFonts w:ascii="华文中宋" w:hAnsi="华文中宋" w:eastAsia="华文中宋" w:cs="华文中宋"/>
          <w:color w:val="000000"/>
          <w:sz w:val="32"/>
          <w:szCs w:val="32"/>
        </w:rPr>
      </w:pPr>
    </w:p>
    <w:p w14:paraId="3ED587EA">
      <w:pPr>
        <w:adjustRightInd w:val="0"/>
        <w:snapToGrid w:val="0"/>
        <w:spacing w:before="340" w:after="340"/>
        <w:jc w:val="center"/>
        <w:rPr>
          <w:b/>
          <w:bCs/>
          <w:color w:val="000000"/>
          <w:sz w:val="44"/>
          <w:szCs w:val="44"/>
        </w:rPr>
      </w:pPr>
      <w:r>
        <w:rPr>
          <w:rFonts w:hint="eastAsia"/>
          <w:b/>
          <w:bCs/>
          <w:color w:val="000000"/>
          <w:sz w:val="44"/>
          <w:szCs w:val="44"/>
        </w:rPr>
        <w:t>编 制 说 明</w:t>
      </w:r>
    </w:p>
    <w:p w14:paraId="20CC049C">
      <w:pPr>
        <w:adjustRightInd w:val="0"/>
        <w:snapToGrid w:val="0"/>
        <w:jc w:val="center"/>
        <w:rPr>
          <w:rFonts w:ascii="华文中宋" w:hAnsi="华文中宋" w:eastAsia="华文中宋" w:cs="华文中宋"/>
          <w:color w:val="000000"/>
          <w:sz w:val="32"/>
          <w:szCs w:val="32"/>
        </w:rPr>
      </w:pPr>
    </w:p>
    <w:p w14:paraId="4DD99E07">
      <w:pPr>
        <w:adjustRightInd w:val="0"/>
        <w:snapToGrid w:val="0"/>
        <w:jc w:val="center"/>
        <w:rPr>
          <w:rFonts w:ascii="华文中宋" w:hAnsi="华文中宋" w:eastAsia="华文中宋" w:cs="华文中宋"/>
          <w:color w:val="000000"/>
          <w:sz w:val="32"/>
          <w:szCs w:val="32"/>
        </w:rPr>
      </w:pPr>
    </w:p>
    <w:p w14:paraId="309045B7">
      <w:pPr>
        <w:adjustRightInd w:val="0"/>
        <w:snapToGrid w:val="0"/>
        <w:jc w:val="center"/>
        <w:rPr>
          <w:rFonts w:ascii="华文中宋" w:hAnsi="华文中宋" w:eastAsia="华文中宋" w:cs="华文中宋"/>
          <w:color w:val="000000"/>
          <w:sz w:val="32"/>
          <w:szCs w:val="32"/>
        </w:rPr>
      </w:pPr>
    </w:p>
    <w:p w14:paraId="29CF48C9">
      <w:pPr>
        <w:jc w:val="center"/>
        <w:rPr>
          <w:rFonts w:eastAsia="华文中宋"/>
          <w:sz w:val="32"/>
          <w:szCs w:val="28"/>
        </w:rPr>
      </w:pPr>
    </w:p>
    <w:p w14:paraId="10280F8E">
      <w:pPr>
        <w:adjustRightInd w:val="0"/>
        <w:snapToGrid w:val="0"/>
        <w:spacing w:before="340" w:after="340"/>
        <w:ind w:firstLine="643"/>
        <w:rPr>
          <w:color w:val="000000"/>
          <w:sz w:val="32"/>
          <w:szCs w:val="32"/>
        </w:rPr>
      </w:pPr>
      <w:r>
        <w:rPr>
          <w:b/>
          <w:bCs/>
          <w:color w:val="000000"/>
          <w:sz w:val="32"/>
          <w:szCs w:val="32"/>
        </w:rPr>
        <w:t>起草单位</w:t>
      </w:r>
      <w:r>
        <w:rPr>
          <w:color w:val="000000"/>
          <w:sz w:val="32"/>
          <w:szCs w:val="32"/>
        </w:rPr>
        <w:t>：</w:t>
      </w:r>
      <w:r>
        <w:rPr>
          <w:rFonts w:hint="eastAsia"/>
          <w:color w:val="000000"/>
          <w:sz w:val="32"/>
          <w:szCs w:val="32"/>
        </w:rPr>
        <w:t>北京市农林科学院</w:t>
      </w:r>
    </w:p>
    <w:p w14:paraId="6BE96777">
      <w:pPr>
        <w:adjustRightInd w:val="0"/>
        <w:snapToGrid w:val="0"/>
        <w:spacing w:before="340" w:after="340"/>
        <w:ind w:firstLine="643"/>
        <w:rPr>
          <w:color w:val="000000"/>
          <w:sz w:val="32"/>
          <w:szCs w:val="32"/>
        </w:rPr>
      </w:pPr>
      <w:r>
        <w:rPr>
          <w:b/>
          <w:bCs/>
          <w:color w:val="000000"/>
          <w:sz w:val="32"/>
          <w:szCs w:val="32"/>
        </w:rPr>
        <w:t>负 责 人</w:t>
      </w:r>
      <w:r>
        <w:rPr>
          <w:color w:val="000000"/>
          <w:sz w:val="32"/>
          <w:szCs w:val="32"/>
        </w:rPr>
        <w:t>：</w:t>
      </w:r>
      <w:r>
        <w:rPr>
          <w:rFonts w:hint="eastAsia"/>
          <w:color w:val="000000"/>
          <w:sz w:val="32"/>
          <w:szCs w:val="32"/>
        </w:rPr>
        <w:t>邹国元</w:t>
      </w:r>
    </w:p>
    <w:p w14:paraId="743338DD">
      <w:pPr>
        <w:adjustRightInd w:val="0"/>
        <w:snapToGrid w:val="0"/>
        <w:spacing w:before="340" w:after="340"/>
        <w:ind w:firstLine="643"/>
        <w:rPr>
          <w:rFonts w:ascii="Times New Roman" w:hAnsi="Times New Roman" w:cs="Times New Roman"/>
          <w:color w:val="000000"/>
          <w:sz w:val="32"/>
          <w:szCs w:val="32"/>
        </w:rPr>
      </w:pPr>
      <w:r>
        <w:rPr>
          <w:b/>
          <w:bCs/>
          <w:color w:val="000000"/>
          <w:sz w:val="32"/>
          <w:szCs w:val="32"/>
        </w:rPr>
        <w:t>联系电话</w:t>
      </w:r>
      <w:r>
        <w:rPr>
          <w:color w:val="000000"/>
          <w:sz w:val="32"/>
          <w:szCs w:val="32"/>
        </w:rPr>
        <w:t>：</w:t>
      </w:r>
      <w:r>
        <w:rPr>
          <w:rFonts w:ascii="Times New Roman" w:hAnsi="Times New Roman" w:cs="Times New Roman"/>
          <w:color w:val="000000"/>
          <w:sz w:val="32"/>
          <w:szCs w:val="32"/>
        </w:rPr>
        <w:t>13910726222</w:t>
      </w:r>
    </w:p>
    <w:p w14:paraId="6C196135">
      <w:pPr>
        <w:adjustRightInd w:val="0"/>
        <w:snapToGrid w:val="0"/>
        <w:spacing w:before="340" w:after="340"/>
        <w:ind w:firstLine="643"/>
        <w:jc w:val="left"/>
        <w:rPr>
          <w:rFonts w:ascii="Times New Roman" w:hAnsi="Times New Roman" w:cs="Times New Roman"/>
          <w:color w:val="000000"/>
          <w:sz w:val="28"/>
          <w:szCs w:val="28"/>
        </w:rPr>
      </w:pPr>
      <w:r>
        <w:rPr>
          <w:rFonts w:ascii="Times New Roman" w:hAnsi="Times New Roman" w:cs="Times New Roman"/>
          <w:b/>
          <w:bCs/>
          <w:color w:val="000000"/>
          <w:sz w:val="32"/>
          <w:szCs w:val="32"/>
        </w:rPr>
        <w:t>邮    箱</w:t>
      </w:r>
      <w:r>
        <w:rPr>
          <w:rFonts w:ascii="Times New Roman" w:hAnsi="Times New Roman" w:cs="Times New Roman"/>
          <w:color w:val="000000"/>
          <w:sz w:val="32"/>
          <w:szCs w:val="32"/>
        </w:rPr>
        <w:t>：gyzou@163.com</w:t>
      </w:r>
    </w:p>
    <w:p w14:paraId="24B30FE3">
      <w:pPr>
        <w:jc w:val="center"/>
        <w:rPr>
          <w:rFonts w:ascii="Times New Roman" w:hAnsi="Times New Roman" w:eastAsia="华文中宋" w:cs="Times New Roman"/>
          <w:sz w:val="32"/>
          <w:szCs w:val="28"/>
        </w:rPr>
      </w:pPr>
      <w:r>
        <w:rPr>
          <w:rFonts w:hint="eastAsia" w:ascii="Times New Roman" w:hAnsi="Times New Roman" w:eastAsia="华文中宋" w:cs="Times New Roman"/>
          <w:sz w:val="32"/>
          <w:szCs w:val="28"/>
        </w:rPr>
        <w:t>2026年3月</w:t>
      </w:r>
    </w:p>
    <w:p w14:paraId="04754505">
      <w:pPr>
        <w:spacing w:line="540" w:lineRule="exact"/>
        <w:rPr>
          <w:rFonts w:eastAsia="黑体"/>
          <w:bCs/>
          <w:color w:val="000000"/>
          <w:sz w:val="32"/>
          <w:szCs w:val="32"/>
        </w:rPr>
      </w:pPr>
    </w:p>
    <w:p w14:paraId="21E58438">
      <w:pPr>
        <w:spacing w:line="360" w:lineRule="auto"/>
        <w:rPr>
          <w:b/>
          <w:sz w:val="24"/>
          <w:szCs w:val="24"/>
        </w:rPr>
        <w:sectPr>
          <w:headerReference r:id="rId3" w:type="default"/>
          <w:footerReference r:id="rId4" w:type="default"/>
          <w:pgSz w:w="11906" w:h="16838"/>
          <w:pgMar w:top="1440" w:right="1800" w:bottom="1440" w:left="1800" w:header="851" w:footer="992" w:gutter="0"/>
          <w:pgNumType w:fmt="numberInDash" w:start="1"/>
          <w:cols w:space="720" w:num="1"/>
          <w:titlePg/>
          <w:docGrid w:type="linesAndChars" w:linePitch="312" w:charSpace="0"/>
        </w:sectPr>
      </w:pPr>
    </w:p>
    <w:p w14:paraId="7D0E230B">
      <w:pPr>
        <w:spacing w:before="156" w:beforeLines="50" w:after="156" w:afterLines="50" w:line="360" w:lineRule="auto"/>
        <w:outlineLvl w:val="0"/>
        <w:rPr>
          <w:rFonts w:eastAsia="黑体"/>
          <w:b/>
          <w:snapToGrid w:val="0"/>
          <w:color w:val="000000"/>
          <w:kern w:val="0"/>
          <w:sz w:val="24"/>
          <w:szCs w:val="24"/>
        </w:rPr>
      </w:pPr>
      <w:bookmarkStart w:id="3" w:name="_Toc212661018"/>
      <w:r>
        <w:rPr>
          <w:rFonts w:eastAsia="黑体"/>
          <w:b/>
          <w:snapToGrid w:val="0"/>
          <w:color w:val="000000"/>
          <w:kern w:val="0"/>
          <w:sz w:val="24"/>
          <w:szCs w:val="24"/>
        </w:rPr>
        <w:t>一、工作简况</w:t>
      </w:r>
      <w:bookmarkEnd w:id="3"/>
    </w:p>
    <w:p w14:paraId="226360DF">
      <w:pPr>
        <w:spacing w:line="360" w:lineRule="auto"/>
        <w:ind w:firstLine="482" w:firstLineChars="200"/>
        <w:outlineLvl w:val="1"/>
        <w:rPr>
          <w:rFonts w:eastAsia="楷体"/>
          <w:b/>
          <w:bCs/>
          <w:sz w:val="24"/>
          <w:szCs w:val="24"/>
        </w:rPr>
      </w:pPr>
      <w:bookmarkStart w:id="4" w:name="_Toc212661019"/>
      <w:r>
        <w:rPr>
          <w:rFonts w:eastAsia="楷体"/>
          <w:b/>
          <w:bCs/>
          <w:sz w:val="24"/>
          <w:szCs w:val="24"/>
        </w:rPr>
        <w:t>（一）任务来源</w:t>
      </w:r>
      <w:bookmarkEnd w:id="4"/>
    </w:p>
    <w:p w14:paraId="598818DC">
      <w:pPr>
        <w:pStyle w:val="7"/>
        <w:spacing w:line="360" w:lineRule="auto"/>
        <w:ind w:firstLine="480"/>
        <w:rPr>
          <w:rFonts w:ascii="Times New Roman"/>
          <w:snapToGrid w:val="0"/>
          <w:color w:val="000000"/>
          <w:kern w:val="0"/>
          <w:sz w:val="24"/>
        </w:rPr>
      </w:pPr>
      <w:r>
        <w:rPr>
          <w:rFonts w:ascii="Times New Roman"/>
          <w:snapToGrid w:val="0"/>
          <w:color w:val="000000"/>
          <w:kern w:val="0"/>
          <w:sz w:val="24"/>
        </w:rPr>
        <w:t>本项目依据2016年6月27日，农业农村部关于</w:t>
      </w:r>
      <w:r>
        <w:rPr>
          <w:rFonts w:hint="eastAsia" w:ascii="Times New Roman"/>
          <w:snapToGrid w:val="0"/>
          <w:color w:val="000000"/>
          <w:kern w:val="0"/>
          <w:sz w:val="24"/>
        </w:rPr>
        <w:t>支付</w:t>
      </w:r>
      <w:r>
        <w:rPr>
          <w:rFonts w:ascii="Times New Roman"/>
          <w:snapToGrid w:val="0"/>
          <w:color w:val="000000"/>
          <w:kern w:val="0"/>
          <w:sz w:val="24"/>
        </w:rPr>
        <w:t>2016年</w:t>
      </w:r>
      <w:r>
        <w:rPr>
          <w:rFonts w:hint="eastAsia" w:ascii="Times New Roman"/>
          <w:snapToGrid w:val="0"/>
          <w:color w:val="000000"/>
          <w:kern w:val="0"/>
          <w:sz w:val="24"/>
        </w:rPr>
        <w:t>农产品</w:t>
      </w:r>
      <w:r>
        <w:rPr>
          <w:rFonts w:ascii="Times New Roman"/>
          <w:snapToGrid w:val="0"/>
          <w:color w:val="000000"/>
          <w:kern w:val="0"/>
          <w:sz w:val="24"/>
        </w:rPr>
        <w:t>质量安全监管专项经费等项目</w:t>
      </w:r>
      <w:r>
        <w:rPr>
          <w:rFonts w:hint="eastAsia" w:ascii="Times New Roman"/>
          <w:snapToGrid w:val="0"/>
          <w:color w:val="000000"/>
          <w:kern w:val="0"/>
          <w:sz w:val="24"/>
        </w:rPr>
        <w:t>项目资金</w:t>
      </w:r>
      <w:r>
        <w:rPr>
          <w:rFonts w:ascii="Times New Roman"/>
          <w:snapToGrid w:val="0"/>
          <w:color w:val="000000"/>
          <w:kern w:val="0"/>
          <w:sz w:val="24"/>
        </w:rPr>
        <w:t>的通知【农</w:t>
      </w:r>
      <w:r>
        <w:rPr>
          <w:rFonts w:hint="eastAsia" w:ascii="Times New Roman"/>
          <w:snapToGrid w:val="0"/>
          <w:color w:val="000000"/>
          <w:kern w:val="0"/>
          <w:sz w:val="24"/>
        </w:rPr>
        <w:t>财</w:t>
      </w:r>
      <w:r>
        <w:rPr>
          <w:rFonts w:ascii="Times New Roman"/>
          <w:snapToGrid w:val="0"/>
          <w:color w:val="000000"/>
          <w:kern w:val="0"/>
          <w:sz w:val="24"/>
        </w:rPr>
        <w:t>发 2016 29 号】中《</w:t>
      </w:r>
      <w:bookmarkStart w:id="5" w:name="OLE_LINK1"/>
      <w:r>
        <w:rPr>
          <w:rFonts w:hint="eastAsia" w:ascii="Times New Roman"/>
          <w:snapToGrid w:val="0"/>
          <w:color w:val="000000"/>
          <w:kern w:val="0"/>
          <w:sz w:val="24"/>
        </w:rPr>
        <w:t>农业废水田间消纳设施工程建设技术标准</w:t>
      </w:r>
      <w:bookmarkEnd w:id="5"/>
      <w:r>
        <w:rPr>
          <w:rFonts w:ascii="Times New Roman"/>
          <w:snapToGrid w:val="0"/>
          <w:color w:val="000000"/>
          <w:kern w:val="0"/>
          <w:sz w:val="24"/>
        </w:rPr>
        <w:t>》制定项目（</w:t>
      </w:r>
      <w:r>
        <w:rPr>
          <w:rFonts w:hint="eastAsia" w:ascii="Times New Roman"/>
          <w:snapToGrid w:val="0"/>
          <w:color w:val="000000"/>
          <w:kern w:val="0"/>
          <w:sz w:val="24"/>
        </w:rPr>
        <w:t>合同编号1</w:t>
      </w:r>
      <w:r>
        <w:rPr>
          <w:rFonts w:ascii="Times New Roman"/>
          <w:snapToGrid w:val="0"/>
          <w:color w:val="000000"/>
          <w:kern w:val="0"/>
          <w:sz w:val="24"/>
        </w:rPr>
        <w:t>8162130109237020），开展标准的制定相关工作。</w:t>
      </w:r>
    </w:p>
    <w:p w14:paraId="552EA58F">
      <w:pPr>
        <w:spacing w:line="360" w:lineRule="auto"/>
        <w:ind w:firstLine="482" w:firstLineChars="200"/>
        <w:outlineLvl w:val="1"/>
        <w:rPr>
          <w:rFonts w:eastAsia="楷体"/>
          <w:b/>
          <w:bCs/>
          <w:sz w:val="24"/>
          <w:szCs w:val="24"/>
        </w:rPr>
      </w:pPr>
      <w:bookmarkStart w:id="6" w:name="_Toc212661020"/>
      <w:r>
        <w:rPr>
          <w:rFonts w:eastAsia="楷体"/>
          <w:b/>
          <w:bCs/>
          <w:sz w:val="24"/>
          <w:szCs w:val="24"/>
        </w:rPr>
        <w:t>（二）制定背景</w:t>
      </w:r>
      <w:bookmarkEnd w:id="6"/>
    </w:p>
    <w:p w14:paraId="79923F87">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近年来，我国畜禽养殖、农作物种植产生的粪污、秸秆等有机废弃物量持续增加，厌氧发酵制沼成为此类废弃物资源化利用的重要方式，而沼液作为发酵主要液态残余物，富含氮、磷、钾及微量元素，是优质的农业有机肥料。但目前沼液还田过程中存在无害化处理不到位、施用量无科学依据、施用方式不规范、运输储存存在安全隐患等问题，不仅造成沼液资源浪费，还可能引发土壤盐渍化、农业面源污染、农产品质量安全风险等问题，同时部分地区沼液处置不当也成为农业生态环境治理的难点。</w:t>
      </w:r>
    </w:p>
    <w:p w14:paraId="7A9C2369">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在此背景下，制定《农业废水田间消纳设施工程建设技术标准》具有重要现实意义：一是明确沼液还田全流程技术要求，为农业生产主体、养殖企业提供可操作的技术依据，规范沼液还田行为；二是推动沼液无害化、资源化利用，实现“变废为宝”，提升农业有机废弃物资源化利用效率，降低农业生产化肥投入；三是防范沼液还田带来的生态环境风险，保护农田土壤、水体环境，助力农业绿色低碳发展；四是衔接现有农业资源环境标准体系，完善农业有机肥料施用的标准化建设，推动种养结合循环农业发展。</w:t>
      </w:r>
    </w:p>
    <w:p w14:paraId="53077FA2">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本标准适用于以畜禽粪污、农作物秸秆等有机废弃物为主要原料的农用沼液还田，覆盖粮油、蔬菜、果树、棉麻、园林绿化等各类作物种植场景，具有广泛的行业适用性。</w:t>
      </w:r>
    </w:p>
    <w:p w14:paraId="61B859DE">
      <w:pPr>
        <w:spacing w:line="360" w:lineRule="auto"/>
        <w:ind w:firstLine="482" w:firstLineChars="200"/>
        <w:outlineLvl w:val="1"/>
        <w:rPr>
          <w:rFonts w:eastAsia="楷体"/>
          <w:b/>
          <w:bCs/>
          <w:sz w:val="24"/>
          <w:szCs w:val="24"/>
        </w:rPr>
      </w:pPr>
      <w:r>
        <w:rPr>
          <w:rFonts w:hint="eastAsia" w:eastAsia="楷体"/>
          <w:b/>
          <w:bCs/>
          <w:sz w:val="24"/>
          <w:szCs w:val="24"/>
        </w:rPr>
        <w:t>（三）编写人员与分工</w:t>
      </w:r>
    </w:p>
    <w:p w14:paraId="785C88B0">
      <w:pPr>
        <w:pStyle w:val="7"/>
        <w:spacing w:line="360" w:lineRule="auto"/>
        <w:ind w:firstLine="480"/>
        <w:rPr>
          <w:rFonts w:ascii="Times New Roman"/>
          <w:snapToGrid w:val="0"/>
          <w:color w:val="000000"/>
          <w:kern w:val="0"/>
          <w:sz w:val="24"/>
        </w:rPr>
      </w:pPr>
      <w:r>
        <w:rPr>
          <w:rFonts w:ascii="Times New Roman"/>
          <w:snapToGrid w:val="0"/>
          <w:color w:val="000000"/>
          <w:kern w:val="0"/>
          <w:sz w:val="24"/>
        </w:rPr>
        <w:t>主要起草人</w:t>
      </w:r>
    </w:p>
    <w:p w14:paraId="10F4CF7C">
      <w:pPr>
        <w:pStyle w:val="7"/>
        <w:spacing w:line="360" w:lineRule="auto"/>
        <w:ind w:firstLine="480"/>
        <w:rPr>
          <w:rFonts w:ascii="Times New Roman"/>
          <w:snapToGrid w:val="0"/>
          <w:color w:val="000000"/>
          <w:kern w:val="0"/>
          <w:sz w:val="24"/>
        </w:rPr>
      </w:pPr>
      <w:r>
        <w:rPr>
          <w:rFonts w:ascii="Times New Roman"/>
          <w:snapToGrid w:val="0"/>
          <w:color w:val="000000"/>
          <w:kern w:val="0"/>
          <w:sz w:val="24"/>
        </w:rPr>
        <w:t>标准制定过程主要由北京市农林科学院等单位的人员参与资料收集、</w:t>
      </w:r>
      <w:r>
        <w:rPr>
          <w:rFonts w:hint="eastAsia" w:ascii="Times New Roman"/>
          <w:snapToGrid w:val="0"/>
          <w:color w:val="000000"/>
          <w:kern w:val="0"/>
          <w:sz w:val="24"/>
        </w:rPr>
        <w:t>文献调研、</w:t>
      </w:r>
      <w:r>
        <w:rPr>
          <w:rFonts w:ascii="Times New Roman"/>
          <w:snapToGrid w:val="0"/>
          <w:color w:val="000000"/>
          <w:kern w:val="0"/>
          <w:sz w:val="24"/>
        </w:rPr>
        <w:t>文本</w:t>
      </w:r>
      <w:r>
        <w:rPr>
          <w:rFonts w:hint="eastAsia" w:ascii="Times New Roman"/>
          <w:snapToGrid w:val="0"/>
          <w:color w:val="000000"/>
          <w:kern w:val="0"/>
          <w:sz w:val="24"/>
        </w:rPr>
        <w:t>撰写</w:t>
      </w:r>
      <w:r>
        <w:rPr>
          <w:rFonts w:ascii="Times New Roman"/>
          <w:snapToGrid w:val="0"/>
          <w:color w:val="000000"/>
          <w:kern w:val="0"/>
          <w:sz w:val="24"/>
        </w:rPr>
        <w:t>、实验室比对和数据处理等工作</w:t>
      </w:r>
      <w:r>
        <w:rPr>
          <w:rFonts w:hint="eastAsia" w:ascii="Times New Roman"/>
          <w:snapToGrid w:val="0"/>
          <w:color w:val="000000"/>
          <w:kern w:val="0"/>
          <w:sz w:val="24"/>
        </w:rPr>
        <w:t>，具体分工如下：</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55"/>
        <w:gridCol w:w="1559"/>
        <w:gridCol w:w="4082"/>
      </w:tblGrid>
      <w:tr w14:paraId="3D32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1AC89227">
            <w:pPr>
              <w:spacing w:line="240" w:lineRule="atLeast"/>
              <w:jc w:val="center"/>
              <w:rPr>
                <w:rFonts w:eastAsia="黑体"/>
                <w:color w:val="000000"/>
                <w:sz w:val="24"/>
                <w:szCs w:val="24"/>
              </w:rPr>
            </w:pPr>
            <w:r>
              <w:rPr>
                <w:rFonts w:eastAsia="黑体"/>
                <w:color w:val="000000"/>
                <w:sz w:val="24"/>
                <w:szCs w:val="24"/>
              </w:rPr>
              <w:t>姓名</w:t>
            </w:r>
          </w:p>
        </w:tc>
        <w:tc>
          <w:tcPr>
            <w:tcW w:w="2155" w:type="dxa"/>
            <w:vAlign w:val="center"/>
          </w:tcPr>
          <w:p w14:paraId="1B9BAE4C">
            <w:pPr>
              <w:spacing w:line="240" w:lineRule="atLeast"/>
              <w:jc w:val="center"/>
              <w:rPr>
                <w:rFonts w:eastAsia="黑体"/>
                <w:color w:val="000000"/>
                <w:sz w:val="24"/>
                <w:szCs w:val="24"/>
              </w:rPr>
            </w:pPr>
            <w:r>
              <w:rPr>
                <w:rFonts w:eastAsia="黑体"/>
                <w:color w:val="000000"/>
                <w:sz w:val="24"/>
                <w:szCs w:val="24"/>
              </w:rPr>
              <w:t>单位</w:t>
            </w:r>
          </w:p>
        </w:tc>
        <w:tc>
          <w:tcPr>
            <w:tcW w:w="1559" w:type="dxa"/>
            <w:vAlign w:val="center"/>
          </w:tcPr>
          <w:p w14:paraId="3E7A6211">
            <w:pPr>
              <w:spacing w:line="240" w:lineRule="atLeast"/>
              <w:jc w:val="center"/>
              <w:rPr>
                <w:rFonts w:eastAsia="黑体"/>
                <w:color w:val="000000"/>
                <w:sz w:val="24"/>
                <w:szCs w:val="24"/>
              </w:rPr>
            </w:pPr>
            <w:r>
              <w:rPr>
                <w:rFonts w:eastAsia="黑体"/>
                <w:color w:val="000000"/>
                <w:sz w:val="24"/>
                <w:szCs w:val="24"/>
              </w:rPr>
              <w:t>职称</w:t>
            </w:r>
          </w:p>
        </w:tc>
        <w:tc>
          <w:tcPr>
            <w:tcW w:w="4082" w:type="dxa"/>
            <w:vAlign w:val="center"/>
          </w:tcPr>
          <w:p w14:paraId="7810F273">
            <w:pPr>
              <w:spacing w:line="240" w:lineRule="atLeast"/>
              <w:jc w:val="center"/>
              <w:rPr>
                <w:rFonts w:eastAsia="黑体"/>
                <w:color w:val="000000"/>
                <w:sz w:val="24"/>
                <w:szCs w:val="24"/>
              </w:rPr>
            </w:pPr>
            <w:r>
              <w:rPr>
                <w:rFonts w:eastAsia="黑体"/>
                <w:color w:val="000000"/>
                <w:sz w:val="24"/>
                <w:szCs w:val="24"/>
              </w:rPr>
              <w:t>专业及分工</w:t>
            </w:r>
          </w:p>
        </w:tc>
      </w:tr>
      <w:tr w14:paraId="6888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4763A5E1">
            <w:pPr>
              <w:spacing w:line="240" w:lineRule="atLeast"/>
              <w:jc w:val="center"/>
              <w:rPr>
                <w:color w:val="000000"/>
                <w:sz w:val="24"/>
                <w:szCs w:val="24"/>
              </w:rPr>
            </w:pPr>
            <w:r>
              <w:rPr>
                <w:rFonts w:hint="eastAsia"/>
                <w:snapToGrid w:val="0"/>
                <w:color w:val="000000"/>
                <w:kern w:val="0"/>
                <w:sz w:val="24"/>
                <w:szCs w:val="24"/>
              </w:rPr>
              <w:t>邹国元</w:t>
            </w:r>
          </w:p>
        </w:tc>
        <w:tc>
          <w:tcPr>
            <w:tcW w:w="2155" w:type="dxa"/>
            <w:vAlign w:val="center"/>
          </w:tcPr>
          <w:p w14:paraId="54DF86D9">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1E451211">
            <w:pPr>
              <w:spacing w:line="240" w:lineRule="atLeast"/>
              <w:jc w:val="center"/>
              <w:rPr>
                <w:color w:val="000000"/>
                <w:sz w:val="24"/>
                <w:szCs w:val="24"/>
              </w:rPr>
            </w:pPr>
            <w:r>
              <w:rPr>
                <w:rFonts w:hint="eastAsia"/>
                <w:color w:val="000000"/>
                <w:sz w:val="24"/>
                <w:szCs w:val="24"/>
              </w:rPr>
              <w:t>研究员</w:t>
            </w:r>
          </w:p>
        </w:tc>
        <w:tc>
          <w:tcPr>
            <w:tcW w:w="4082" w:type="dxa"/>
            <w:vAlign w:val="center"/>
          </w:tcPr>
          <w:p w14:paraId="5AD2EAD8">
            <w:pPr>
              <w:spacing w:line="240" w:lineRule="atLeast"/>
              <w:jc w:val="center"/>
              <w:rPr>
                <w:color w:val="000000"/>
                <w:sz w:val="24"/>
                <w:szCs w:val="24"/>
              </w:rPr>
            </w:pPr>
            <w:r>
              <w:rPr>
                <w:color w:val="000000"/>
                <w:sz w:val="24"/>
                <w:szCs w:val="24"/>
              </w:rPr>
              <w:t>植物营养学，负责整体规划</w:t>
            </w:r>
            <w:r>
              <w:rPr>
                <w:rFonts w:hint="eastAsia"/>
                <w:color w:val="000000"/>
                <w:sz w:val="24"/>
                <w:szCs w:val="24"/>
              </w:rPr>
              <w:t>，</w:t>
            </w:r>
            <w:r>
              <w:rPr>
                <w:color w:val="000000"/>
                <w:sz w:val="24"/>
                <w:szCs w:val="24"/>
              </w:rPr>
              <w:t>思路</w:t>
            </w:r>
            <w:r>
              <w:rPr>
                <w:rFonts w:hint="eastAsia"/>
                <w:color w:val="000000"/>
                <w:sz w:val="24"/>
                <w:szCs w:val="24"/>
              </w:rPr>
              <w:t>梳理，结构</w:t>
            </w:r>
            <w:r>
              <w:rPr>
                <w:color w:val="000000"/>
                <w:sz w:val="24"/>
                <w:szCs w:val="24"/>
              </w:rPr>
              <w:t>把控，标准编写。</w:t>
            </w:r>
          </w:p>
        </w:tc>
      </w:tr>
      <w:tr w14:paraId="22EB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4EA7698F">
            <w:pPr>
              <w:spacing w:line="240" w:lineRule="atLeast"/>
              <w:jc w:val="center"/>
              <w:rPr>
                <w:color w:val="000000"/>
                <w:sz w:val="24"/>
                <w:szCs w:val="24"/>
              </w:rPr>
            </w:pPr>
            <w:r>
              <w:rPr>
                <w:rFonts w:hint="eastAsia"/>
                <w:snapToGrid w:val="0"/>
                <w:color w:val="000000"/>
                <w:kern w:val="0"/>
                <w:sz w:val="24"/>
                <w:szCs w:val="24"/>
              </w:rPr>
              <w:t>孙钦平</w:t>
            </w:r>
          </w:p>
        </w:tc>
        <w:tc>
          <w:tcPr>
            <w:tcW w:w="2155" w:type="dxa"/>
            <w:vAlign w:val="center"/>
          </w:tcPr>
          <w:p w14:paraId="07896DB1">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3E41D181">
            <w:pPr>
              <w:spacing w:line="240" w:lineRule="atLeast"/>
              <w:jc w:val="center"/>
              <w:rPr>
                <w:color w:val="000000"/>
                <w:sz w:val="24"/>
                <w:szCs w:val="24"/>
              </w:rPr>
            </w:pPr>
            <w:r>
              <w:rPr>
                <w:rFonts w:hint="eastAsia"/>
                <w:color w:val="000000"/>
                <w:sz w:val="24"/>
                <w:szCs w:val="24"/>
              </w:rPr>
              <w:t>推广研究员</w:t>
            </w:r>
          </w:p>
        </w:tc>
        <w:tc>
          <w:tcPr>
            <w:tcW w:w="4082" w:type="dxa"/>
            <w:vAlign w:val="center"/>
          </w:tcPr>
          <w:p w14:paraId="7E0F1029">
            <w:pPr>
              <w:spacing w:line="240" w:lineRule="atLeast"/>
              <w:jc w:val="center"/>
              <w:rPr>
                <w:color w:val="000000"/>
                <w:sz w:val="24"/>
                <w:szCs w:val="24"/>
              </w:rPr>
            </w:pPr>
            <w:r>
              <w:rPr>
                <w:color w:val="000000"/>
                <w:sz w:val="24"/>
                <w:szCs w:val="24"/>
              </w:rPr>
              <w:t>有机废弃物资源化利用，负责标准撰写，沼液</w:t>
            </w:r>
            <w:r>
              <w:rPr>
                <w:rFonts w:hint="eastAsia"/>
                <w:color w:val="000000"/>
                <w:sz w:val="24"/>
                <w:szCs w:val="24"/>
              </w:rPr>
              <w:t>相关</w:t>
            </w:r>
            <w:r>
              <w:rPr>
                <w:color w:val="000000"/>
                <w:sz w:val="24"/>
                <w:szCs w:val="24"/>
              </w:rPr>
              <w:t>参数研究。</w:t>
            </w:r>
          </w:p>
        </w:tc>
      </w:tr>
      <w:tr w14:paraId="0BD7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50157E0A">
            <w:pPr>
              <w:spacing w:line="240" w:lineRule="atLeast"/>
              <w:jc w:val="center"/>
              <w:rPr>
                <w:snapToGrid w:val="0"/>
                <w:color w:val="000000"/>
                <w:kern w:val="0"/>
                <w:sz w:val="24"/>
                <w:szCs w:val="24"/>
              </w:rPr>
            </w:pPr>
            <w:r>
              <w:rPr>
                <w:rFonts w:hint="eastAsia"/>
                <w:snapToGrid w:val="0"/>
                <w:color w:val="000000"/>
                <w:kern w:val="0"/>
                <w:sz w:val="24"/>
                <w:szCs w:val="24"/>
              </w:rPr>
              <w:t>张克强</w:t>
            </w:r>
          </w:p>
        </w:tc>
        <w:tc>
          <w:tcPr>
            <w:tcW w:w="2155" w:type="dxa"/>
            <w:vAlign w:val="center"/>
          </w:tcPr>
          <w:p w14:paraId="639126E3">
            <w:pPr>
              <w:spacing w:line="240" w:lineRule="atLeast"/>
              <w:jc w:val="center"/>
              <w:rPr>
                <w:color w:val="000000"/>
                <w:sz w:val="24"/>
                <w:szCs w:val="24"/>
              </w:rPr>
            </w:pPr>
            <w:r>
              <w:rPr>
                <w:rFonts w:hint="eastAsia"/>
                <w:color w:val="000000"/>
                <w:sz w:val="24"/>
                <w:szCs w:val="24"/>
              </w:rPr>
              <w:t>农业农村部环境保护科研监测所</w:t>
            </w:r>
          </w:p>
        </w:tc>
        <w:tc>
          <w:tcPr>
            <w:tcW w:w="1559" w:type="dxa"/>
            <w:vAlign w:val="center"/>
          </w:tcPr>
          <w:p w14:paraId="528DC9D3">
            <w:pPr>
              <w:spacing w:line="240" w:lineRule="atLeast"/>
              <w:jc w:val="center"/>
              <w:rPr>
                <w:color w:val="000000"/>
                <w:sz w:val="24"/>
                <w:szCs w:val="24"/>
              </w:rPr>
            </w:pPr>
            <w:r>
              <w:rPr>
                <w:rFonts w:hint="eastAsia"/>
                <w:color w:val="000000"/>
                <w:sz w:val="24"/>
                <w:szCs w:val="24"/>
              </w:rPr>
              <w:t>研究员</w:t>
            </w:r>
          </w:p>
        </w:tc>
        <w:tc>
          <w:tcPr>
            <w:tcW w:w="4082" w:type="dxa"/>
            <w:vAlign w:val="center"/>
          </w:tcPr>
          <w:p w14:paraId="24848B0E">
            <w:pPr>
              <w:spacing w:line="240" w:lineRule="atLeast"/>
              <w:jc w:val="center"/>
              <w:rPr>
                <w:color w:val="000000"/>
                <w:sz w:val="24"/>
                <w:szCs w:val="24"/>
              </w:rPr>
            </w:pPr>
            <w:r>
              <w:rPr>
                <w:color w:val="000000"/>
                <w:sz w:val="24"/>
                <w:szCs w:val="24"/>
              </w:rPr>
              <w:t>养殖废弃物资源化利用，</w:t>
            </w:r>
            <w:r>
              <w:rPr>
                <w:rFonts w:hint="eastAsia"/>
                <w:color w:val="000000"/>
                <w:sz w:val="24"/>
                <w:szCs w:val="24"/>
              </w:rPr>
              <w:t>提供撰写思路，</w:t>
            </w:r>
            <w:r>
              <w:rPr>
                <w:color w:val="000000"/>
                <w:sz w:val="24"/>
                <w:szCs w:val="24"/>
              </w:rPr>
              <w:t>提供沼液指标相关数据。</w:t>
            </w:r>
          </w:p>
        </w:tc>
      </w:tr>
      <w:tr w14:paraId="02DB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614BF903">
            <w:pPr>
              <w:spacing w:line="240" w:lineRule="atLeast"/>
              <w:jc w:val="center"/>
              <w:rPr>
                <w:snapToGrid w:val="0"/>
                <w:color w:val="000000"/>
                <w:kern w:val="0"/>
                <w:sz w:val="24"/>
                <w:szCs w:val="24"/>
              </w:rPr>
            </w:pPr>
            <w:r>
              <w:rPr>
                <w:rFonts w:hint="eastAsia" w:ascii="Times New Roman"/>
                <w:snapToGrid w:val="0"/>
                <w:color w:val="000000"/>
                <w:kern w:val="0"/>
                <w:sz w:val="24"/>
              </w:rPr>
              <w:t>刘宏斌</w:t>
            </w:r>
          </w:p>
        </w:tc>
        <w:tc>
          <w:tcPr>
            <w:tcW w:w="2155" w:type="dxa"/>
            <w:vAlign w:val="center"/>
          </w:tcPr>
          <w:p w14:paraId="3A9CD3C3">
            <w:pPr>
              <w:spacing w:line="240" w:lineRule="atLeast"/>
              <w:jc w:val="center"/>
              <w:rPr>
                <w:color w:val="000000"/>
                <w:sz w:val="24"/>
                <w:szCs w:val="24"/>
              </w:rPr>
            </w:pPr>
            <w:r>
              <w:rPr>
                <w:rFonts w:hint="eastAsia"/>
                <w:color w:val="000000"/>
                <w:sz w:val="24"/>
                <w:szCs w:val="24"/>
              </w:rPr>
              <w:t>中国农业科学院农业资源与农业区划研究所</w:t>
            </w:r>
          </w:p>
        </w:tc>
        <w:tc>
          <w:tcPr>
            <w:tcW w:w="1559" w:type="dxa"/>
            <w:vAlign w:val="center"/>
          </w:tcPr>
          <w:p w14:paraId="2D74BA5B">
            <w:pPr>
              <w:spacing w:line="240" w:lineRule="atLeast"/>
              <w:jc w:val="center"/>
              <w:rPr>
                <w:color w:val="000000"/>
                <w:sz w:val="24"/>
                <w:szCs w:val="24"/>
              </w:rPr>
            </w:pPr>
            <w:r>
              <w:rPr>
                <w:rFonts w:hint="eastAsia"/>
                <w:color w:val="000000"/>
                <w:sz w:val="24"/>
                <w:szCs w:val="24"/>
              </w:rPr>
              <w:t>研究员</w:t>
            </w:r>
          </w:p>
        </w:tc>
        <w:tc>
          <w:tcPr>
            <w:tcW w:w="4082" w:type="dxa"/>
            <w:vAlign w:val="center"/>
          </w:tcPr>
          <w:p w14:paraId="721DF8B7">
            <w:pPr>
              <w:spacing w:line="240" w:lineRule="atLeast"/>
              <w:jc w:val="center"/>
              <w:rPr>
                <w:color w:val="000000"/>
                <w:sz w:val="24"/>
                <w:szCs w:val="24"/>
              </w:rPr>
            </w:pPr>
            <w:r>
              <w:rPr>
                <w:rFonts w:hint="eastAsia"/>
                <w:color w:val="000000"/>
                <w:sz w:val="24"/>
                <w:szCs w:val="24"/>
              </w:rPr>
              <w:t>农业面源污染防控，指导标准撰写，参与标准编制说明撰写。</w:t>
            </w:r>
          </w:p>
        </w:tc>
      </w:tr>
      <w:tr w14:paraId="3E0F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3A9D9DF9">
            <w:pPr>
              <w:spacing w:line="240" w:lineRule="atLeast"/>
              <w:jc w:val="center"/>
              <w:rPr>
                <w:snapToGrid w:val="0"/>
                <w:color w:val="000000"/>
                <w:kern w:val="0"/>
                <w:sz w:val="24"/>
                <w:szCs w:val="24"/>
              </w:rPr>
            </w:pPr>
            <w:r>
              <w:rPr>
                <w:rFonts w:hint="eastAsia" w:ascii="Times New Roman"/>
                <w:snapToGrid w:val="0"/>
                <w:color w:val="000000"/>
                <w:kern w:val="0"/>
                <w:sz w:val="24"/>
              </w:rPr>
              <w:t>薛颖昊</w:t>
            </w:r>
          </w:p>
        </w:tc>
        <w:tc>
          <w:tcPr>
            <w:tcW w:w="2155" w:type="dxa"/>
            <w:vAlign w:val="center"/>
          </w:tcPr>
          <w:p w14:paraId="4BC239D1">
            <w:pPr>
              <w:spacing w:line="240" w:lineRule="atLeast"/>
              <w:jc w:val="center"/>
              <w:rPr>
                <w:color w:val="000000"/>
                <w:sz w:val="24"/>
                <w:szCs w:val="24"/>
              </w:rPr>
            </w:pPr>
            <w:r>
              <w:rPr>
                <w:rFonts w:hint="eastAsia"/>
                <w:color w:val="000000"/>
                <w:sz w:val="24"/>
                <w:szCs w:val="24"/>
              </w:rPr>
              <w:t>农业农村部农业生态与资源保护总站</w:t>
            </w:r>
          </w:p>
        </w:tc>
        <w:tc>
          <w:tcPr>
            <w:tcW w:w="1559" w:type="dxa"/>
            <w:vAlign w:val="center"/>
          </w:tcPr>
          <w:p w14:paraId="7530E808">
            <w:pPr>
              <w:spacing w:line="240" w:lineRule="atLeast"/>
              <w:jc w:val="center"/>
              <w:rPr>
                <w:color w:val="000000"/>
                <w:sz w:val="24"/>
                <w:szCs w:val="24"/>
              </w:rPr>
            </w:pPr>
            <w:r>
              <w:rPr>
                <w:rFonts w:hint="eastAsia"/>
                <w:color w:val="000000"/>
                <w:sz w:val="24"/>
                <w:szCs w:val="24"/>
              </w:rPr>
              <w:t>正高级农艺师</w:t>
            </w:r>
          </w:p>
        </w:tc>
        <w:tc>
          <w:tcPr>
            <w:tcW w:w="4082" w:type="dxa"/>
            <w:vAlign w:val="center"/>
          </w:tcPr>
          <w:p w14:paraId="70426454">
            <w:pPr>
              <w:spacing w:line="240" w:lineRule="atLeast"/>
              <w:jc w:val="center"/>
              <w:rPr>
                <w:color w:val="000000"/>
                <w:sz w:val="24"/>
                <w:szCs w:val="24"/>
              </w:rPr>
            </w:pPr>
            <w:r>
              <w:rPr>
                <w:rFonts w:hint="eastAsia"/>
                <w:color w:val="000000"/>
                <w:sz w:val="24"/>
                <w:szCs w:val="24"/>
              </w:rPr>
              <w:t>农业资源与环境，为标准及编制说明提供撰写思路，提供种养殖相关数据。</w:t>
            </w:r>
          </w:p>
        </w:tc>
      </w:tr>
      <w:tr w14:paraId="13F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0134030C">
            <w:pPr>
              <w:spacing w:line="240" w:lineRule="atLeast"/>
              <w:jc w:val="center"/>
              <w:rPr>
                <w:snapToGrid w:val="0"/>
                <w:color w:val="000000"/>
                <w:kern w:val="0"/>
                <w:sz w:val="24"/>
                <w:szCs w:val="24"/>
              </w:rPr>
            </w:pPr>
            <w:r>
              <w:rPr>
                <w:rFonts w:hint="eastAsia"/>
                <w:snapToGrid w:val="0"/>
                <w:color w:val="000000"/>
                <w:kern w:val="0"/>
                <w:sz w:val="24"/>
                <w:szCs w:val="24"/>
              </w:rPr>
              <w:t>李吉进</w:t>
            </w:r>
          </w:p>
        </w:tc>
        <w:tc>
          <w:tcPr>
            <w:tcW w:w="2155" w:type="dxa"/>
            <w:vAlign w:val="center"/>
          </w:tcPr>
          <w:p w14:paraId="43658F44">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2A360E7B">
            <w:pPr>
              <w:spacing w:line="240" w:lineRule="atLeast"/>
              <w:jc w:val="center"/>
              <w:rPr>
                <w:color w:val="000000"/>
                <w:sz w:val="24"/>
                <w:szCs w:val="24"/>
              </w:rPr>
            </w:pPr>
            <w:r>
              <w:rPr>
                <w:rFonts w:hint="eastAsia"/>
                <w:color w:val="000000"/>
                <w:sz w:val="24"/>
                <w:szCs w:val="24"/>
              </w:rPr>
              <w:t>研究员</w:t>
            </w:r>
          </w:p>
        </w:tc>
        <w:tc>
          <w:tcPr>
            <w:tcW w:w="4082" w:type="dxa"/>
            <w:vAlign w:val="center"/>
          </w:tcPr>
          <w:p w14:paraId="76D63D67">
            <w:pPr>
              <w:spacing w:line="240" w:lineRule="atLeast"/>
              <w:jc w:val="center"/>
              <w:rPr>
                <w:color w:val="000000"/>
                <w:sz w:val="24"/>
                <w:szCs w:val="24"/>
              </w:rPr>
            </w:pPr>
            <w:r>
              <w:rPr>
                <w:color w:val="000000"/>
                <w:sz w:val="24"/>
                <w:szCs w:val="24"/>
              </w:rPr>
              <w:t>土壤学，沼液</w:t>
            </w:r>
            <w:r>
              <w:rPr>
                <w:rFonts w:hint="eastAsia"/>
                <w:color w:val="000000"/>
                <w:sz w:val="24"/>
                <w:szCs w:val="24"/>
              </w:rPr>
              <w:t>还田技术及参数研究</w:t>
            </w:r>
            <w:r>
              <w:rPr>
                <w:color w:val="000000"/>
                <w:sz w:val="24"/>
                <w:szCs w:val="24"/>
              </w:rPr>
              <w:t xml:space="preserve">。 </w:t>
            </w:r>
          </w:p>
        </w:tc>
      </w:tr>
      <w:tr w14:paraId="5559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2654DE6A">
            <w:pPr>
              <w:spacing w:line="240" w:lineRule="atLeast"/>
              <w:jc w:val="center"/>
              <w:rPr>
                <w:snapToGrid w:val="0"/>
                <w:color w:val="000000"/>
                <w:kern w:val="0"/>
                <w:sz w:val="24"/>
                <w:szCs w:val="24"/>
              </w:rPr>
            </w:pPr>
            <w:r>
              <w:rPr>
                <w:rFonts w:hint="eastAsia"/>
                <w:snapToGrid w:val="0"/>
                <w:color w:val="000000"/>
                <w:kern w:val="0"/>
                <w:sz w:val="24"/>
                <w:szCs w:val="24"/>
              </w:rPr>
              <w:t>李钰飞</w:t>
            </w:r>
          </w:p>
        </w:tc>
        <w:tc>
          <w:tcPr>
            <w:tcW w:w="2155" w:type="dxa"/>
            <w:vAlign w:val="center"/>
          </w:tcPr>
          <w:p w14:paraId="20E54A99">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176B8B01">
            <w:pPr>
              <w:spacing w:line="240" w:lineRule="atLeast"/>
              <w:jc w:val="center"/>
              <w:rPr>
                <w:color w:val="000000"/>
                <w:sz w:val="24"/>
                <w:szCs w:val="24"/>
              </w:rPr>
            </w:pPr>
            <w:r>
              <w:rPr>
                <w:rFonts w:hint="eastAsia"/>
                <w:color w:val="000000"/>
                <w:sz w:val="24"/>
                <w:szCs w:val="24"/>
              </w:rPr>
              <w:t>副研究员</w:t>
            </w:r>
          </w:p>
        </w:tc>
        <w:tc>
          <w:tcPr>
            <w:tcW w:w="4082" w:type="dxa"/>
            <w:vAlign w:val="center"/>
          </w:tcPr>
          <w:p w14:paraId="13C05A6A">
            <w:pPr>
              <w:spacing w:line="240" w:lineRule="atLeast"/>
              <w:jc w:val="center"/>
              <w:rPr>
                <w:color w:val="000000"/>
                <w:sz w:val="24"/>
                <w:szCs w:val="24"/>
              </w:rPr>
            </w:pPr>
            <w:r>
              <w:rPr>
                <w:color w:val="000000"/>
                <w:sz w:val="24"/>
                <w:szCs w:val="24"/>
              </w:rPr>
              <w:t>生态学，撰写标准编制说明，</w:t>
            </w:r>
            <w:r>
              <w:rPr>
                <w:rFonts w:hint="eastAsia"/>
                <w:color w:val="000000"/>
                <w:sz w:val="24"/>
                <w:szCs w:val="24"/>
              </w:rPr>
              <w:t>参与</w:t>
            </w:r>
            <w:r>
              <w:rPr>
                <w:color w:val="000000"/>
                <w:sz w:val="24"/>
                <w:szCs w:val="24"/>
              </w:rPr>
              <w:t>沼液相关试验开展。</w:t>
            </w:r>
          </w:p>
        </w:tc>
      </w:tr>
      <w:tr w14:paraId="7631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60A0B862">
            <w:pPr>
              <w:spacing w:line="240" w:lineRule="atLeast"/>
              <w:jc w:val="center"/>
              <w:rPr>
                <w:snapToGrid w:val="0"/>
                <w:color w:val="000000"/>
                <w:kern w:val="0"/>
                <w:sz w:val="24"/>
                <w:szCs w:val="24"/>
              </w:rPr>
            </w:pPr>
            <w:r>
              <w:rPr>
                <w:rFonts w:hint="eastAsia"/>
                <w:snapToGrid w:val="0"/>
                <w:color w:val="000000"/>
                <w:kern w:val="0"/>
                <w:sz w:val="24"/>
                <w:szCs w:val="24"/>
              </w:rPr>
              <w:t>许俊香</w:t>
            </w:r>
          </w:p>
        </w:tc>
        <w:tc>
          <w:tcPr>
            <w:tcW w:w="2155" w:type="dxa"/>
            <w:vAlign w:val="center"/>
          </w:tcPr>
          <w:p w14:paraId="10CE8410">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5DAD01F9">
            <w:pPr>
              <w:spacing w:line="240" w:lineRule="atLeast"/>
              <w:jc w:val="center"/>
              <w:rPr>
                <w:color w:val="000000"/>
                <w:sz w:val="24"/>
                <w:szCs w:val="24"/>
              </w:rPr>
            </w:pPr>
            <w:r>
              <w:rPr>
                <w:rFonts w:hint="eastAsia"/>
                <w:color w:val="000000"/>
                <w:sz w:val="24"/>
                <w:szCs w:val="24"/>
              </w:rPr>
              <w:t>副研究员</w:t>
            </w:r>
          </w:p>
        </w:tc>
        <w:tc>
          <w:tcPr>
            <w:tcW w:w="4082" w:type="dxa"/>
            <w:vAlign w:val="center"/>
          </w:tcPr>
          <w:p w14:paraId="51319515">
            <w:pPr>
              <w:spacing w:line="240" w:lineRule="atLeast"/>
              <w:jc w:val="center"/>
              <w:rPr>
                <w:color w:val="000000"/>
                <w:sz w:val="24"/>
                <w:szCs w:val="24"/>
              </w:rPr>
            </w:pPr>
            <w:r>
              <w:rPr>
                <w:color w:val="000000"/>
                <w:sz w:val="24"/>
                <w:szCs w:val="24"/>
              </w:rPr>
              <w:t>土壤肥料学，沼液相关标准资料收集与分析</w:t>
            </w:r>
            <w:r>
              <w:rPr>
                <w:rFonts w:hint="eastAsia"/>
                <w:color w:val="000000"/>
                <w:sz w:val="24"/>
                <w:szCs w:val="24"/>
              </w:rPr>
              <w:t>。</w:t>
            </w:r>
          </w:p>
        </w:tc>
      </w:tr>
      <w:tr w14:paraId="2C49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56EAFF6D">
            <w:pPr>
              <w:spacing w:line="240" w:lineRule="atLeast"/>
              <w:jc w:val="center"/>
              <w:rPr>
                <w:snapToGrid w:val="0"/>
                <w:color w:val="000000"/>
                <w:kern w:val="0"/>
                <w:sz w:val="24"/>
                <w:szCs w:val="24"/>
              </w:rPr>
            </w:pPr>
            <w:r>
              <w:rPr>
                <w:rFonts w:hint="eastAsia"/>
                <w:snapToGrid w:val="0"/>
                <w:color w:val="000000"/>
                <w:kern w:val="0"/>
                <w:sz w:val="24"/>
                <w:szCs w:val="24"/>
              </w:rPr>
              <w:t>赵祥</w:t>
            </w:r>
          </w:p>
        </w:tc>
        <w:tc>
          <w:tcPr>
            <w:tcW w:w="2155" w:type="dxa"/>
            <w:vAlign w:val="center"/>
          </w:tcPr>
          <w:p w14:paraId="1055E579">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4A510383">
            <w:pPr>
              <w:spacing w:line="240" w:lineRule="atLeast"/>
              <w:jc w:val="center"/>
              <w:rPr>
                <w:color w:val="000000"/>
                <w:sz w:val="24"/>
                <w:szCs w:val="24"/>
              </w:rPr>
            </w:pPr>
            <w:r>
              <w:rPr>
                <w:rFonts w:hint="eastAsia"/>
                <w:color w:val="000000"/>
                <w:sz w:val="24"/>
                <w:szCs w:val="24"/>
              </w:rPr>
              <w:t>助理研究员</w:t>
            </w:r>
          </w:p>
        </w:tc>
        <w:tc>
          <w:tcPr>
            <w:tcW w:w="4082" w:type="dxa"/>
            <w:vAlign w:val="center"/>
          </w:tcPr>
          <w:p w14:paraId="2100870B">
            <w:pPr>
              <w:spacing w:line="240" w:lineRule="atLeast"/>
              <w:jc w:val="center"/>
              <w:rPr>
                <w:color w:val="000000"/>
                <w:sz w:val="24"/>
                <w:szCs w:val="24"/>
              </w:rPr>
            </w:pPr>
            <w:r>
              <w:rPr>
                <w:color w:val="000000"/>
                <w:sz w:val="24"/>
                <w:szCs w:val="24"/>
              </w:rPr>
              <w:t>生态学，本标准相关数据整理与分析</w:t>
            </w:r>
          </w:p>
        </w:tc>
      </w:tr>
      <w:tr w14:paraId="02AE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17A5DBDD">
            <w:pPr>
              <w:spacing w:line="240" w:lineRule="atLeast"/>
              <w:jc w:val="center"/>
              <w:rPr>
                <w:snapToGrid w:val="0"/>
                <w:color w:val="000000"/>
                <w:kern w:val="0"/>
                <w:sz w:val="24"/>
                <w:szCs w:val="24"/>
              </w:rPr>
            </w:pPr>
            <w:r>
              <w:rPr>
                <w:rFonts w:hint="eastAsia"/>
                <w:snapToGrid w:val="0"/>
                <w:color w:val="000000"/>
                <w:kern w:val="0"/>
                <w:sz w:val="24"/>
                <w:szCs w:val="24"/>
              </w:rPr>
              <w:t>郎乾乾</w:t>
            </w:r>
          </w:p>
        </w:tc>
        <w:tc>
          <w:tcPr>
            <w:tcW w:w="2155" w:type="dxa"/>
            <w:vAlign w:val="center"/>
          </w:tcPr>
          <w:p w14:paraId="50F068ED">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31F63C6B">
            <w:pPr>
              <w:spacing w:line="240" w:lineRule="atLeast"/>
              <w:jc w:val="center"/>
              <w:rPr>
                <w:color w:val="000000"/>
                <w:sz w:val="24"/>
                <w:szCs w:val="24"/>
              </w:rPr>
            </w:pPr>
            <w:r>
              <w:rPr>
                <w:rFonts w:hint="eastAsia"/>
                <w:color w:val="000000"/>
                <w:sz w:val="24"/>
                <w:szCs w:val="24"/>
              </w:rPr>
              <w:t>助理研究员</w:t>
            </w:r>
          </w:p>
        </w:tc>
        <w:tc>
          <w:tcPr>
            <w:tcW w:w="4082" w:type="dxa"/>
            <w:vAlign w:val="center"/>
          </w:tcPr>
          <w:p w14:paraId="4E789310">
            <w:pPr>
              <w:spacing w:line="240" w:lineRule="atLeast"/>
              <w:jc w:val="center"/>
              <w:rPr>
                <w:color w:val="000000"/>
                <w:sz w:val="24"/>
                <w:szCs w:val="24"/>
              </w:rPr>
            </w:pPr>
            <w:r>
              <w:rPr>
                <w:color w:val="000000"/>
                <w:sz w:val="24"/>
                <w:szCs w:val="24"/>
              </w:rPr>
              <w:t>有机废弃物资源化利用，协助编写本标准，收集资料。</w:t>
            </w:r>
          </w:p>
        </w:tc>
      </w:tr>
      <w:tr w14:paraId="05A8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14:paraId="7FDD761D">
            <w:pPr>
              <w:spacing w:line="240" w:lineRule="atLeast"/>
              <w:jc w:val="center"/>
              <w:rPr>
                <w:snapToGrid w:val="0"/>
                <w:color w:val="000000"/>
                <w:kern w:val="0"/>
                <w:sz w:val="24"/>
                <w:szCs w:val="24"/>
              </w:rPr>
            </w:pPr>
            <w:r>
              <w:rPr>
                <w:rFonts w:hint="eastAsia"/>
                <w:snapToGrid w:val="0"/>
                <w:color w:val="000000"/>
                <w:kern w:val="0"/>
                <w:sz w:val="24"/>
                <w:szCs w:val="24"/>
              </w:rPr>
              <w:t>张玲</w:t>
            </w:r>
          </w:p>
        </w:tc>
        <w:tc>
          <w:tcPr>
            <w:tcW w:w="2155" w:type="dxa"/>
            <w:vAlign w:val="center"/>
          </w:tcPr>
          <w:p w14:paraId="6E093A55">
            <w:pPr>
              <w:spacing w:line="240" w:lineRule="atLeast"/>
              <w:jc w:val="center"/>
              <w:rPr>
                <w:color w:val="000000"/>
                <w:sz w:val="24"/>
                <w:szCs w:val="24"/>
              </w:rPr>
            </w:pPr>
            <w:r>
              <w:rPr>
                <w:rFonts w:hint="eastAsia"/>
                <w:color w:val="000000"/>
                <w:sz w:val="24"/>
                <w:szCs w:val="24"/>
              </w:rPr>
              <w:t>北京市农林科学院</w:t>
            </w:r>
          </w:p>
        </w:tc>
        <w:tc>
          <w:tcPr>
            <w:tcW w:w="1559" w:type="dxa"/>
            <w:vAlign w:val="center"/>
          </w:tcPr>
          <w:p w14:paraId="730FD320">
            <w:pPr>
              <w:spacing w:line="240" w:lineRule="atLeast"/>
              <w:jc w:val="center"/>
              <w:rPr>
                <w:color w:val="000000"/>
                <w:sz w:val="24"/>
                <w:szCs w:val="24"/>
              </w:rPr>
            </w:pPr>
            <w:r>
              <w:rPr>
                <w:rFonts w:hint="eastAsia"/>
                <w:color w:val="000000"/>
                <w:sz w:val="24"/>
                <w:szCs w:val="24"/>
              </w:rPr>
              <w:t>助理研究员</w:t>
            </w:r>
          </w:p>
        </w:tc>
        <w:tc>
          <w:tcPr>
            <w:tcW w:w="4082" w:type="dxa"/>
            <w:vAlign w:val="center"/>
          </w:tcPr>
          <w:p w14:paraId="41236364">
            <w:pPr>
              <w:spacing w:line="240" w:lineRule="atLeast"/>
              <w:jc w:val="center"/>
              <w:rPr>
                <w:color w:val="000000"/>
                <w:sz w:val="24"/>
                <w:szCs w:val="24"/>
              </w:rPr>
            </w:pPr>
            <w:r>
              <w:rPr>
                <w:color w:val="000000"/>
                <w:sz w:val="24"/>
                <w:szCs w:val="24"/>
              </w:rPr>
              <w:t>资源与环境学，协助编写标准编制说明，整理相关资料。</w:t>
            </w:r>
          </w:p>
        </w:tc>
      </w:tr>
    </w:tbl>
    <w:p w14:paraId="39F5E3B9">
      <w:pPr>
        <w:pStyle w:val="7"/>
        <w:spacing w:line="360" w:lineRule="auto"/>
        <w:ind w:firstLine="480"/>
        <w:rPr>
          <w:rFonts w:ascii="Times New Roman"/>
          <w:snapToGrid w:val="0"/>
          <w:color w:val="000000"/>
          <w:kern w:val="0"/>
          <w:sz w:val="24"/>
        </w:rPr>
      </w:pPr>
    </w:p>
    <w:p w14:paraId="292DF9DD">
      <w:pPr>
        <w:spacing w:line="360" w:lineRule="auto"/>
        <w:ind w:firstLine="482" w:firstLineChars="200"/>
        <w:outlineLvl w:val="1"/>
        <w:rPr>
          <w:rFonts w:eastAsia="楷体"/>
          <w:b/>
          <w:bCs/>
          <w:sz w:val="24"/>
          <w:szCs w:val="24"/>
        </w:rPr>
      </w:pPr>
      <w:bookmarkStart w:id="7" w:name="_Toc212661021"/>
      <w:r>
        <w:rPr>
          <w:rFonts w:eastAsia="楷体"/>
          <w:b/>
          <w:bCs/>
          <w:sz w:val="24"/>
          <w:szCs w:val="24"/>
        </w:rPr>
        <w:t>（</w:t>
      </w:r>
      <w:r>
        <w:rPr>
          <w:rFonts w:hint="eastAsia" w:eastAsia="楷体"/>
          <w:b/>
          <w:bCs/>
          <w:sz w:val="24"/>
          <w:szCs w:val="24"/>
        </w:rPr>
        <w:t>四</w:t>
      </w:r>
      <w:r>
        <w:rPr>
          <w:rFonts w:eastAsia="楷体"/>
          <w:b/>
          <w:bCs/>
          <w:sz w:val="24"/>
          <w:szCs w:val="24"/>
        </w:rPr>
        <w:t>）</w:t>
      </w:r>
      <w:r>
        <w:rPr>
          <w:rFonts w:hint="eastAsia" w:eastAsia="楷体"/>
          <w:b/>
          <w:bCs/>
          <w:sz w:val="24"/>
          <w:szCs w:val="24"/>
        </w:rPr>
        <w:t>起草过程</w:t>
      </w:r>
      <w:bookmarkEnd w:id="7"/>
    </w:p>
    <w:p w14:paraId="63D75BF7">
      <w:pPr>
        <w:pStyle w:val="7"/>
        <w:spacing w:line="360" w:lineRule="auto"/>
        <w:ind w:firstLine="480"/>
        <w:rPr>
          <w:rFonts w:ascii="Times New Roman"/>
          <w:snapToGrid w:val="0"/>
          <w:color w:val="000000"/>
          <w:kern w:val="0"/>
          <w:sz w:val="24"/>
        </w:rPr>
      </w:pPr>
      <w:r>
        <w:rPr>
          <w:rFonts w:ascii="Times New Roman"/>
          <w:snapToGrid w:val="0"/>
          <w:color w:val="000000"/>
          <w:kern w:val="0"/>
          <w:sz w:val="24"/>
        </w:rPr>
        <w:t>2016年1月，标准编制任务下达后，</w:t>
      </w:r>
      <w:r>
        <w:rPr>
          <w:rFonts w:hint="eastAsia" w:ascii="Times New Roman"/>
          <w:snapToGrid w:val="0"/>
          <w:color w:val="000000"/>
          <w:kern w:val="0"/>
          <w:sz w:val="24"/>
        </w:rPr>
        <w:t>承担单位</w:t>
      </w:r>
      <w:r>
        <w:rPr>
          <w:rFonts w:ascii="Times New Roman"/>
          <w:snapToGrid w:val="0"/>
          <w:color w:val="000000"/>
          <w:kern w:val="0"/>
          <w:sz w:val="24"/>
        </w:rPr>
        <w:t>成立了标准编制小组，召开标准启动会，初步制定编制方案，进行任务分工，明确该标准的作用、适用范围及主要内容。</w:t>
      </w:r>
    </w:p>
    <w:p w14:paraId="57EFF3E9">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20</w:t>
      </w:r>
      <w:r>
        <w:rPr>
          <w:rFonts w:ascii="Times New Roman"/>
          <w:snapToGrid w:val="0"/>
          <w:color w:val="000000"/>
          <w:kern w:val="0"/>
          <w:sz w:val="24"/>
        </w:rPr>
        <w:t>16</w:t>
      </w:r>
      <w:r>
        <w:rPr>
          <w:rFonts w:hint="eastAsia" w:ascii="Times New Roman"/>
          <w:snapToGrid w:val="0"/>
          <w:color w:val="000000"/>
          <w:kern w:val="0"/>
          <w:sz w:val="24"/>
        </w:rPr>
        <w:t>年</w:t>
      </w:r>
      <w:r>
        <w:rPr>
          <w:rFonts w:ascii="Times New Roman"/>
          <w:snapToGrid w:val="0"/>
          <w:color w:val="000000"/>
          <w:kern w:val="0"/>
          <w:sz w:val="24"/>
        </w:rPr>
        <w:t>2</w:t>
      </w:r>
      <w:r>
        <w:rPr>
          <w:rFonts w:hint="eastAsia" w:ascii="Times New Roman"/>
          <w:snapToGrid w:val="0"/>
          <w:color w:val="000000"/>
          <w:kern w:val="0"/>
          <w:sz w:val="24"/>
        </w:rPr>
        <w:t xml:space="preserve">月- </w:t>
      </w:r>
      <w:r>
        <w:rPr>
          <w:rFonts w:ascii="Times New Roman"/>
          <w:snapToGrid w:val="0"/>
          <w:color w:val="000000"/>
          <w:kern w:val="0"/>
          <w:sz w:val="24"/>
        </w:rPr>
        <w:t>6</w:t>
      </w:r>
      <w:r>
        <w:rPr>
          <w:rFonts w:hint="eastAsia" w:ascii="Times New Roman"/>
          <w:snapToGrid w:val="0"/>
          <w:color w:val="000000"/>
          <w:kern w:val="0"/>
          <w:sz w:val="24"/>
        </w:rPr>
        <w:t>月，系统查阅农业废水的各类标准，最新相关文献和研究成果，整理分析相关数据，校核相应技术环节并进行汇总分析。通过文献检索、数据分析和实地踏查我国农业废水各类应用场景下的情况，组织相关专家座谈和现场交流，编制形成了技术初稿。</w:t>
      </w:r>
    </w:p>
    <w:p w14:paraId="2B6D220A">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2</w:t>
      </w:r>
      <w:r>
        <w:rPr>
          <w:rFonts w:ascii="Times New Roman"/>
          <w:snapToGrid w:val="0"/>
          <w:color w:val="000000"/>
          <w:kern w:val="0"/>
          <w:sz w:val="24"/>
        </w:rPr>
        <w:t>016年</w:t>
      </w:r>
      <w:r>
        <w:rPr>
          <w:rFonts w:hint="eastAsia" w:ascii="Times New Roman"/>
          <w:snapToGrid w:val="0"/>
          <w:color w:val="000000"/>
          <w:kern w:val="0"/>
          <w:sz w:val="24"/>
        </w:rPr>
        <w:t>7月-</w:t>
      </w:r>
      <w:r>
        <w:rPr>
          <w:rFonts w:ascii="Times New Roman"/>
          <w:snapToGrid w:val="0"/>
          <w:color w:val="000000"/>
          <w:kern w:val="0"/>
          <w:sz w:val="24"/>
        </w:rPr>
        <w:t>2025年</w:t>
      </w:r>
      <w:r>
        <w:rPr>
          <w:rFonts w:hint="eastAsia" w:ascii="Times New Roman"/>
          <w:snapToGrid w:val="0"/>
          <w:color w:val="000000"/>
          <w:kern w:val="0"/>
          <w:sz w:val="24"/>
        </w:rPr>
        <w:t>6月，不断征求专家意见，根据国家农业绿色发展实际需求，将原集中于农业废水农田利用的标准修订为沼液农田利用为主体内容，拟将标准题目定为《农用沼液还田技术规范》。</w:t>
      </w:r>
    </w:p>
    <w:p w14:paraId="14BF9ECB">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202</w:t>
      </w:r>
      <w:r>
        <w:rPr>
          <w:rFonts w:ascii="Times New Roman"/>
          <w:snapToGrid w:val="0"/>
          <w:color w:val="000000"/>
          <w:kern w:val="0"/>
          <w:sz w:val="24"/>
        </w:rPr>
        <w:t>5</w:t>
      </w:r>
      <w:r>
        <w:rPr>
          <w:rFonts w:hint="eastAsia" w:ascii="Times New Roman"/>
          <w:snapToGrid w:val="0"/>
          <w:color w:val="000000"/>
          <w:kern w:val="0"/>
          <w:sz w:val="24"/>
        </w:rPr>
        <w:t>年</w:t>
      </w:r>
      <w:r>
        <w:rPr>
          <w:rFonts w:ascii="Times New Roman"/>
          <w:snapToGrid w:val="0"/>
          <w:color w:val="000000"/>
          <w:kern w:val="0"/>
          <w:sz w:val="24"/>
        </w:rPr>
        <w:t>7</w:t>
      </w:r>
      <w:r>
        <w:rPr>
          <w:rFonts w:hint="eastAsia" w:ascii="Times New Roman"/>
          <w:snapToGrid w:val="0"/>
          <w:color w:val="000000"/>
          <w:kern w:val="0"/>
          <w:sz w:val="24"/>
        </w:rPr>
        <w:t>月-202</w:t>
      </w:r>
      <w:r>
        <w:rPr>
          <w:rFonts w:ascii="Times New Roman"/>
          <w:snapToGrid w:val="0"/>
          <w:color w:val="000000"/>
          <w:kern w:val="0"/>
          <w:sz w:val="24"/>
        </w:rPr>
        <w:t>5</w:t>
      </w:r>
      <w:r>
        <w:rPr>
          <w:rFonts w:hint="eastAsia" w:ascii="Times New Roman"/>
          <w:snapToGrid w:val="0"/>
          <w:color w:val="000000"/>
          <w:kern w:val="0"/>
          <w:sz w:val="24"/>
        </w:rPr>
        <w:t>年12月，根据标准要求，编制形成《农用沼液还田技术规范》标准初稿及其编制说明。</w:t>
      </w:r>
    </w:p>
    <w:p w14:paraId="163B9E53">
      <w:pPr>
        <w:pStyle w:val="7"/>
        <w:spacing w:line="360" w:lineRule="auto"/>
        <w:ind w:firstLine="480"/>
        <w:rPr>
          <w:rFonts w:ascii="Times New Roman"/>
          <w:snapToGrid w:val="0"/>
          <w:color w:val="000000"/>
          <w:kern w:val="0"/>
          <w:sz w:val="24"/>
        </w:rPr>
      </w:pPr>
      <w:r>
        <w:rPr>
          <w:rFonts w:hint="eastAsia" w:ascii="Times New Roman"/>
          <w:snapToGrid w:val="0"/>
          <w:color w:val="000000"/>
          <w:kern w:val="0"/>
          <w:sz w:val="24"/>
        </w:rPr>
        <w:t>202</w:t>
      </w:r>
      <w:r>
        <w:rPr>
          <w:rFonts w:ascii="Times New Roman"/>
          <w:snapToGrid w:val="0"/>
          <w:color w:val="000000"/>
          <w:kern w:val="0"/>
          <w:sz w:val="24"/>
        </w:rPr>
        <w:t>6</w:t>
      </w:r>
      <w:r>
        <w:rPr>
          <w:rFonts w:hint="eastAsia" w:ascii="Times New Roman"/>
          <w:snapToGrid w:val="0"/>
          <w:color w:val="000000"/>
          <w:kern w:val="0"/>
          <w:sz w:val="24"/>
        </w:rPr>
        <w:t>年1月-3月，邀请领域内专家和项目的有关技术人员，对已经起草的《农用沼液还田技术规范》标准初稿进行讨论，并修改完善，形成征求意见稿。由于修改名称需要相关程序确定，当前征求意见仍沿用原标准名称。</w:t>
      </w:r>
    </w:p>
    <w:p w14:paraId="0835A20F">
      <w:pPr>
        <w:spacing w:before="156" w:beforeLines="50" w:after="156" w:afterLines="50" w:line="360" w:lineRule="auto"/>
        <w:outlineLvl w:val="0"/>
        <w:rPr>
          <w:rFonts w:eastAsia="黑体"/>
          <w:b/>
          <w:snapToGrid w:val="0"/>
          <w:color w:val="000000"/>
          <w:kern w:val="0"/>
          <w:sz w:val="24"/>
          <w:szCs w:val="24"/>
        </w:rPr>
      </w:pPr>
      <w:bookmarkStart w:id="8" w:name="_Toc212661022"/>
      <w:r>
        <w:rPr>
          <w:rFonts w:eastAsia="黑体"/>
          <w:b/>
          <w:snapToGrid w:val="0"/>
          <w:color w:val="000000"/>
          <w:kern w:val="0"/>
          <w:sz w:val="24"/>
          <w:szCs w:val="24"/>
        </w:rPr>
        <w:t>二、标准编制原则和确定标准主要内容</w:t>
      </w:r>
      <w:bookmarkEnd w:id="8"/>
    </w:p>
    <w:p w14:paraId="0C96CD01">
      <w:pPr>
        <w:spacing w:line="360" w:lineRule="auto"/>
        <w:ind w:firstLine="482" w:firstLineChars="200"/>
        <w:outlineLvl w:val="1"/>
        <w:rPr>
          <w:rFonts w:eastAsia="楷体"/>
          <w:b/>
          <w:bCs/>
          <w:sz w:val="24"/>
          <w:szCs w:val="24"/>
        </w:rPr>
      </w:pPr>
      <w:bookmarkStart w:id="9" w:name="_Toc212661023"/>
      <w:r>
        <w:rPr>
          <w:rFonts w:eastAsia="楷体"/>
          <w:b/>
          <w:bCs/>
          <w:sz w:val="24"/>
          <w:szCs w:val="24"/>
        </w:rPr>
        <w:t>（一）</w:t>
      </w:r>
      <w:r>
        <w:rPr>
          <w:rFonts w:hint="eastAsia" w:eastAsia="楷体"/>
          <w:b/>
          <w:bCs/>
          <w:sz w:val="24"/>
          <w:szCs w:val="24"/>
        </w:rPr>
        <w:t>编制</w:t>
      </w:r>
      <w:r>
        <w:rPr>
          <w:rFonts w:eastAsia="楷体"/>
          <w:b/>
          <w:bCs/>
          <w:sz w:val="24"/>
          <w:szCs w:val="24"/>
        </w:rPr>
        <w:t>原则</w:t>
      </w:r>
      <w:bookmarkEnd w:id="9"/>
    </w:p>
    <w:p w14:paraId="104351A5">
      <w:pPr>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w:t>
      </w:r>
      <w:r>
        <w:rPr>
          <w:rFonts w:ascii="Times New Roman" w:hAnsi="Times New Roman" w:cs="Times New Roman"/>
          <w:snapToGrid w:val="0"/>
          <w:color w:val="000000"/>
          <w:kern w:val="0"/>
          <w:sz w:val="24"/>
          <w:szCs w:val="24"/>
        </w:rPr>
        <w:tab/>
      </w:r>
      <w:r>
        <w:rPr>
          <w:rFonts w:ascii="Times New Roman" w:hAnsi="Times New Roman" w:cs="Times New Roman"/>
          <w:snapToGrid w:val="0"/>
          <w:color w:val="000000"/>
          <w:kern w:val="0"/>
          <w:sz w:val="24"/>
          <w:szCs w:val="24"/>
        </w:rPr>
        <w:t>科学性原则：标准内容基于沼液理化性质、土壤肥料学、作物营养学等基础理论，结合国内沼液还田的科研成果和田间试验数据，确保技术指标、施用量测算、施用方法等内容科学合理。</w:t>
      </w:r>
    </w:p>
    <w:p w14:paraId="019FD5DA">
      <w:pPr>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w:t>
      </w:r>
      <w:r>
        <w:rPr>
          <w:rFonts w:ascii="Times New Roman" w:hAnsi="Times New Roman" w:cs="Times New Roman"/>
          <w:snapToGrid w:val="0"/>
          <w:color w:val="000000"/>
          <w:kern w:val="0"/>
          <w:sz w:val="24"/>
          <w:szCs w:val="24"/>
        </w:rPr>
        <w:tab/>
      </w:r>
      <w:r>
        <w:rPr>
          <w:rFonts w:ascii="Times New Roman" w:hAnsi="Times New Roman" w:cs="Times New Roman"/>
          <w:snapToGrid w:val="0"/>
          <w:color w:val="000000"/>
          <w:kern w:val="0"/>
          <w:sz w:val="24"/>
          <w:szCs w:val="24"/>
        </w:rPr>
        <w:t>实用性原则：充分考虑我国不同地区农业生产实际、不同作物种植特点和沼液类型差异，制定的技术要求贴合生产实际，操作流程简单易懂，配套参数（如作物需氮量、沼液含氮量）提供参考值，便于基层生产主体和技术推广人员使用。</w:t>
      </w:r>
    </w:p>
    <w:p w14:paraId="6BDBB46E">
      <w:pPr>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3.</w:t>
      </w:r>
      <w:r>
        <w:rPr>
          <w:rFonts w:ascii="Times New Roman" w:hAnsi="Times New Roman" w:cs="Times New Roman"/>
          <w:snapToGrid w:val="0"/>
          <w:color w:val="000000"/>
          <w:kern w:val="0"/>
          <w:sz w:val="24"/>
          <w:szCs w:val="24"/>
        </w:rPr>
        <w:tab/>
      </w:r>
      <w:r>
        <w:rPr>
          <w:rFonts w:ascii="Times New Roman" w:hAnsi="Times New Roman" w:cs="Times New Roman"/>
          <w:snapToGrid w:val="0"/>
          <w:color w:val="000000"/>
          <w:kern w:val="0"/>
          <w:sz w:val="24"/>
          <w:szCs w:val="24"/>
        </w:rPr>
        <w:t>协调性原则：严格引用现行国家标准、行业标准，如 GB 5084《农田灌溉水质标准》、GB/T 40750《农用沼液》、GB/T 25246《畜禽粪肥还田技术规范》等，确保本标准内容与现有相关标准协调一致，无冲突、无矛盾，融入现有农业资源环境标准化体系。</w:t>
      </w:r>
    </w:p>
    <w:p w14:paraId="66A5CE8E">
      <w:pPr>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4.</w:t>
      </w:r>
      <w:r>
        <w:rPr>
          <w:rFonts w:ascii="Times New Roman" w:hAnsi="Times New Roman" w:cs="Times New Roman"/>
          <w:snapToGrid w:val="0"/>
          <w:color w:val="000000"/>
          <w:kern w:val="0"/>
          <w:sz w:val="24"/>
          <w:szCs w:val="24"/>
        </w:rPr>
        <w:tab/>
      </w:r>
      <w:r>
        <w:rPr>
          <w:rFonts w:ascii="Times New Roman" w:hAnsi="Times New Roman" w:cs="Times New Roman"/>
          <w:snapToGrid w:val="0"/>
          <w:color w:val="000000"/>
          <w:kern w:val="0"/>
          <w:sz w:val="24"/>
          <w:szCs w:val="24"/>
        </w:rPr>
        <w:t>安全性原则：突出沼液无害化处理、运输储存安全、还田环境风险防控等要求，明确沼液质量卫生指标、土壤监测要求、施用禁忌等，防范沼液还田对农产品质量、农田生态、人居环境的安全风险。</w:t>
      </w:r>
    </w:p>
    <w:p w14:paraId="01F206DD">
      <w:pPr>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5.</w:t>
      </w:r>
      <w:r>
        <w:rPr>
          <w:rFonts w:ascii="Times New Roman" w:hAnsi="Times New Roman" w:cs="Times New Roman"/>
          <w:snapToGrid w:val="0"/>
          <w:color w:val="000000"/>
          <w:kern w:val="0"/>
          <w:sz w:val="24"/>
          <w:szCs w:val="24"/>
        </w:rPr>
        <w:tab/>
      </w:r>
      <w:r>
        <w:rPr>
          <w:rFonts w:ascii="Times New Roman" w:hAnsi="Times New Roman" w:cs="Times New Roman"/>
          <w:snapToGrid w:val="0"/>
          <w:color w:val="000000"/>
          <w:kern w:val="0"/>
          <w:sz w:val="24"/>
          <w:szCs w:val="24"/>
        </w:rPr>
        <w:t>可操作性原则：对沼液还田的运输、储存、施用、检测等各环节提出具体、明确的技术要求</w:t>
      </w:r>
      <w:r>
        <w:rPr>
          <w:rFonts w:hint="eastAsia" w:ascii="Times New Roman" w:hAnsi="Times New Roman" w:cs="Times New Roman"/>
          <w:snapToGrid w:val="0"/>
          <w:color w:val="000000"/>
          <w:kern w:val="0"/>
          <w:sz w:val="24"/>
          <w:szCs w:val="24"/>
        </w:rPr>
        <w:t>，对</w:t>
      </w:r>
      <w:r>
        <w:rPr>
          <w:rFonts w:ascii="Times New Roman" w:hAnsi="Times New Roman" w:cs="Times New Roman"/>
          <w:snapToGrid w:val="0"/>
          <w:color w:val="000000"/>
          <w:kern w:val="0"/>
          <w:sz w:val="24"/>
          <w:szCs w:val="24"/>
        </w:rPr>
        <w:t>施用量给出计算公式并配套参考参数表，施用方式按基肥、追肥分类说明，确保标准能够直接指导生产实践。</w:t>
      </w:r>
    </w:p>
    <w:p w14:paraId="3CFE07A1">
      <w:pPr>
        <w:spacing w:line="360" w:lineRule="auto"/>
        <w:ind w:firstLine="482" w:firstLineChars="200"/>
        <w:outlineLvl w:val="1"/>
        <w:rPr>
          <w:rFonts w:eastAsia="楷体"/>
          <w:b/>
          <w:bCs/>
          <w:sz w:val="24"/>
          <w:szCs w:val="24"/>
        </w:rPr>
      </w:pPr>
      <w:bookmarkStart w:id="10" w:name="_Toc212661024"/>
      <w:r>
        <w:rPr>
          <w:rFonts w:eastAsia="楷体"/>
          <w:b/>
          <w:bCs/>
          <w:sz w:val="24"/>
          <w:szCs w:val="24"/>
        </w:rPr>
        <w:t>（二）主要内容</w:t>
      </w:r>
      <w:r>
        <w:rPr>
          <w:rFonts w:hint="eastAsia" w:eastAsia="楷体"/>
          <w:b/>
          <w:bCs/>
          <w:sz w:val="24"/>
          <w:szCs w:val="24"/>
        </w:rPr>
        <w:t>及其确定依据</w:t>
      </w:r>
      <w:bookmarkEnd w:id="10"/>
    </w:p>
    <w:p w14:paraId="78777FEF">
      <w:pPr>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本标准共设 10 章核心内容，并包含 1 个资料性附录，覆盖沼液还田全流程技术要求。</w:t>
      </w:r>
      <w:bookmarkStart w:id="11" w:name="_Toc212661025"/>
    </w:p>
    <w:bookmarkEnd w:id="11"/>
    <w:p w14:paraId="1B73D981">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1. 范围</w:t>
      </w:r>
    </w:p>
    <w:p w14:paraId="466BF012">
      <w:pPr>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本文件规定了农用沼液还田的一般要求，施用量测算和施用方法，以及沼液在还田前的运输、储存和监测分析方法。</w:t>
      </w:r>
    </w:p>
    <w:p w14:paraId="35E5C3F2">
      <w:pPr>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本文件适用于以畜禽粪污、农作物秸秆等有机废弃物为主要原料农用沼液还田量及施用的方法。</w:t>
      </w:r>
    </w:p>
    <w:p w14:paraId="4A9AF9D9">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2. 规范性引用文件</w:t>
      </w:r>
    </w:p>
    <w:p w14:paraId="366FD8FE">
      <w:pPr>
        <w:autoSpaceDE w:val="0"/>
        <w:autoSpaceDN w:val="0"/>
        <w:adjustRightInd w:val="0"/>
        <w:snapToGrid w:val="0"/>
        <w:spacing w:line="360" w:lineRule="auto"/>
        <w:ind w:firstLine="480" w:firstLineChars="200"/>
        <w:rPr>
          <w:color w:val="FF0000"/>
          <w:sz w:val="24"/>
          <w:szCs w:val="24"/>
        </w:rPr>
      </w:pPr>
      <w:r>
        <w:rPr>
          <w:rFonts w:hint="eastAsia"/>
          <w:color w:val="0D0D0D" w:themeColor="text1" w:themeTint="F2"/>
          <w:sz w:val="24"/>
          <w14:textFill>
            <w14:solidFill>
              <w14:schemeClr w14:val="tx1">
                <w14:lumMod w14:val="95000"/>
                <w14:lumOff w14:val="5000"/>
              </w14:schemeClr>
            </w14:solidFill>
          </w14:textFill>
        </w:rPr>
        <w:t>下列文件中的内容通过文中的规范性引用而构成本文件必不可少的条款。</w:t>
      </w:r>
      <w:bookmarkStart w:id="12" w:name="_Hlk209340656"/>
      <w:r>
        <w:rPr>
          <w:rFonts w:hint="eastAsia"/>
          <w:color w:val="0D0D0D" w:themeColor="text1" w:themeTint="F2"/>
          <w:sz w:val="24"/>
          <w14:textFill>
            <w14:solidFill>
              <w14:schemeClr w14:val="tx1">
                <w14:lumMod w14:val="95000"/>
                <w14:lumOff w14:val="5000"/>
              </w14:schemeClr>
            </w14:solidFill>
          </w14:textFill>
        </w:rPr>
        <w:t>其中，注日期的引用文件，仅该日期对应的版本适用于本文件；不注日期的引用文件，其最新版本（包括所有的修改单）适用于本文件。</w:t>
      </w:r>
      <w:bookmarkEnd w:id="12"/>
      <w:bookmarkStart w:id="13" w:name="OLE_LINK6"/>
      <w:bookmarkStart w:id="14" w:name="_Hlk118722136"/>
    </w:p>
    <w:bookmarkEnd w:id="13"/>
    <w:bookmarkEnd w:id="14"/>
    <w:p w14:paraId="7BE455F9">
      <w:pPr>
        <w:pStyle w:val="26"/>
        <w:adjustRightInd w:val="0"/>
        <w:snapToGrid w:val="0"/>
        <w:spacing w:line="360" w:lineRule="auto"/>
        <w:ind w:firstLine="480" w:firstLineChars="200"/>
        <w:rPr>
          <w:rFonts w:ascii="Times New Roman"/>
          <w:sz w:val="24"/>
        </w:rPr>
      </w:pPr>
      <w:r>
        <w:rPr>
          <w:rFonts w:ascii="Times New Roman"/>
          <w:sz w:val="24"/>
        </w:rPr>
        <w:t>GB 5084 农田灌溉水质标准</w:t>
      </w:r>
    </w:p>
    <w:p w14:paraId="01C31929">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GB/T 6920 水质 pH值的测定 玻璃电极法</w:t>
      </w:r>
    </w:p>
    <w:p w14:paraId="34A8FC5B">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GB 7959粪便无害化卫生</w:t>
      </w:r>
      <w:r>
        <w:rPr>
          <w:rFonts w:hint="eastAsia" w:ascii="Times New Roman" w:hAnsi="Times New Roman" w:cs="Times New Roman"/>
          <w:color w:val="0D0D0D" w:themeColor="text1" w:themeTint="F2"/>
          <w:sz w:val="24"/>
          <w14:textFill>
            <w14:solidFill>
              <w14:schemeClr w14:val="tx1">
                <w14:lumMod w14:val="95000"/>
                <w14:lumOff w14:val="5000"/>
              </w14:schemeClr>
            </w14:solidFill>
          </w14:textFill>
        </w:rPr>
        <w:t>要求</w:t>
      </w:r>
    </w:p>
    <w:p w14:paraId="51E60D52">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HJ 1262</w:t>
      </w:r>
      <w:r>
        <w:rPr>
          <w:rFonts w:ascii="Times New Roman" w:hAnsi="Times New Roman" w:cs="Times New Roman"/>
          <w:sz w:val="24"/>
        </w:rPr>
        <w:t xml:space="preserve"> 空气质量 恶臭的测定 三点比较式臭袋法</w:t>
      </w:r>
    </w:p>
    <w:p w14:paraId="0199E09A">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sz w:val="24"/>
        </w:rPr>
        <w:t>GB 17323 瓶装饮用纯净水</w:t>
      </w:r>
    </w:p>
    <w:p w14:paraId="074A374F">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GB/T 19524.2肥料中蛔虫卵死亡率的测定</w:t>
      </w:r>
    </w:p>
    <w:p w14:paraId="4538907E">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GB/T 23349肥料中砷、镉、铬、铅、汞含量的测定</w:t>
      </w:r>
    </w:p>
    <w:p w14:paraId="260BF8FF">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 xml:space="preserve">GB/T 25246畜禽粪肥还田技术规范 </w:t>
      </w:r>
    </w:p>
    <w:p w14:paraId="345C07E2">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GB/T 40750 农用沼液</w:t>
      </w:r>
    </w:p>
    <w:p w14:paraId="49A73A40">
      <w:pPr>
        <w:adjustRightInd w:val="0"/>
        <w:snapToGrid w:val="0"/>
        <w:spacing w:line="360" w:lineRule="auto"/>
        <w:ind w:firstLine="480" w:firstLineChars="2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sz w:val="24"/>
        </w:rPr>
        <w:t>HJ497 畜禽养殖业污染治理工程技术规范</w:t>
      </w:r>
    </w:p>
    <w:p w14:paraId="2F72783A">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NY/T 1973 水溶肥料 水不溶物含量和pH的测定</w:t>
      </w:r>
    </w:p>
    <w:p w14:paraId="557B0DC7">
      <w:pPr>
        <w:adjustRightInd w:val="0"/>
        <w:snapToGrid w:val="0"/>
        <w:spacing w:line="360" w:lineRule="auto"/>
        <w:ind w:firstLine="480" w:firstLineChars="200"/>
        <w:rPr>
          <w:rFonts w:ascii="Times New Roman" w:hAnsi="Times New Roman" w:cs="Times New Roman"/>
          <w:kern w:val="0"/>
          <w:sz w:val="24"/>
          <w:szCs w:val="21"/>
        </w:rPr>
      </w:pPr>
      <w:r>
        <w:rPr>
          <w:rFonts w:ascii="Times New Roman" w:hAnsi="Times New Roman" w:cs="Times New Roman"/>
          <w:kern w:val="0"/>
          <w:sz w:val="24"/>
          <w:szCs w:val="21"/>
        </w:rPr>
        <w:t>NY/T 3877</w:t>
      </w:r>
      <w:r>
        <w:rPr>
          <w:rFonts w:ascii="Times New Roman" w:hAnsi="Times New Roman" w:cs="Times New Roman"/>
          <w:sz w:val="24"/>
        </w:rPr>
        <w:t>畜禽粪便土地承载力测算方法</w:t>
      </w:r>
    </w:p>
    <w:p w14:paraId="6CCC7AC9">
      <w:pPr>
        <w:adjustRightInd w:val="0"/>
        <w:snapToGrid w:val="0"/>
        <w:spacing w:line="360" w:lineRule="auto"/>
        <w:ind w:firstLine="480" w:firstLineChars="200"/>
        <w:rPr>
          <w:rFonts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NY/T 4814 沼液滴灌施肥技术导则</w:t>
      </w:r>
    </w:p>
    <w:p w14:paraId="7B8F55A5">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3. 术语和定义</w:t>
      </w:r>
    </w:p>
    <w:p w14:paraId="44D5990C">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本标准定义了</w:t>
      </w:r>
      <w:r>
        <w:rPr>
          <w:rFonts w:ascii="Times New Roman" w:hAnsi="Times New Roman" w:eastAsia="宋体" w:cs="Times New Roman"/>
          <w:color w:val="000000"/>
          <w:kern w:val="0"/>
          <w:sz w:val="24"/>
          <w:szCs w:val="24"/>
        </w:rPr>
        <w:t>3</w:t>
      </w:r>
      <w:r>
        <w:rPr>
          <w:rFonts w:hint="eastAsia" w:ascii="Times New Roman" w:hAnsi="Times New Roman" w:eastAsia="宋体" w:cs="Times New Roman"/>
          <w:color w:val="000000"/>
          <w:kern w:val="0"/>
          <w:sz w:val="24"/>
          <w:szCs w:val="24"/>
        </w:rPr>
        <w:t>项术语，分别是：</w:t>
      </w:r>
    </w:p>
    <w:p w14:paraId="515D2FCF">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3.1农用沼液 biogas slurry for agriculture use</w:t>
      </w:r>
    </w:p>
    <w:p w14:paraId="7EFFF8DA">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主要包括各类无毒无害的畜禽粪污、作物秸秆和食品加工有机废弃物经厌氧工艺充分发酵后产生，经无害化和稳定化处理，用于农业施肥的非浓缩类的液态发酵残余物。[来源:GB/T40750—2021,3.1，有修改]</w:t>
      </w:r>
    </w:p>
    <w:p w14:paraId="3CFACF89">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GB/T40750—2021中定义农用沼液为：以畜禽粪污、农作物秸秆等农业有机废弃物为主要原料，通过沼气工程充分厌氧发酵产生，经无害化和稳定化处理，以有机液肥、水肥和灌溉水等方式用于农田生产的液态发酵残余物。其中包含了沼液浓缩处理的浓缩类液体肥料，考虑到浓缩类沼液经常通过叶面进行施用，其施用方式和浓度控制有特殊要求，本标准中沼液以农田施肥和培肥为主要目的，因此对此定义进行修订，不包含浓缩类沼液。</w:t>
      </w:r>
    </w:p>
    <w:p w14:paraId="7CF89CD9">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3.2沼液还田 biogas slurry field application</w:t>
      </w:r>
    </w:p>
    <w:p w14:paraId="68A6281E">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指沼液通过适宜的灌溉方式作为肥料应用于农业种植的方式。</w:t>
      </w:r>
    </w:p>
    <w:p w14:paraId="495DE755">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3.3 沼液储存池 biogas slurry storage tank</w:t>
      </w:r>
    </w:p>
    <w:p w14:paraId="328078F4">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储存沼液的设施，包括养殖场沼液储存池和田间沼液储存池。[来源:NY/T4814—2026,3.1，有修改]</w:t>
      </w:r>
    </w:p>
    <w:p w14:paraId="05ACF0A7">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在原有定义的基础上进行了扩展</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引申到储存池可以在田间建设</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也可以在养殖场进行建设</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便于种养规划综合考虑</w:t>
      </w:r>
      <w:r>
        <w:rPr>
          <w:rFonts w:hint="eastAsia" w:ascii="Times New Roman" w:hAnsi="Times New Roman" w:eastAsia="宋体" w:cs="Times New Roman"/>
          <w:color w:val="000000"/>
          <w:kern w:val="0"/>
          <w:sz w:val="24"/>
          <w:szCs w:val="24"/>
        </w:rPr>
        <w:t>。</w:t>
      </w:r>
    </w:p>
    <w:p w14:paraId="5698D922">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 xml:space="preserve">4. </w:t>
      </w:r>
      <w:r>
        <w:rPr>
          <w:rFonts w:hint="eastAsia" w:ascii="楷体" w:hAnsi="楷体" w:eastAsia="楷体"/>
          <w:b/>
          <w:bCs/>
          <w:snapToGrid w:val="0"/>
          <w:color w:val="000000"/>
          <w:kern w:val="0"/>
          <w:sz w:val="24"/>
          <w:szCs w:val="24"/>
          <w:lang w:val="en-GB"/>
        </w:rPr>
        <w:t>一般要求</w:t>
      </w:r>
    </w:p>
    <w:p w14:paraId="40CEDC78">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一般要求包含</w:t>
      </w:r>
      <w:r>
        <w:rPr>
          <w:rFonts w:hint="eastAsia" w:ascii="Times New Roman" w:hAnsi="Times New Roman" w:eastAsia="宋体" w:cs="Times New Roman"/>
          <w:color w:val="000000"/>
          <w:kern w:val="0"/>
          <w:sz w:val="24"/>
          <w:szCs w:val="24"/>
        </w:rPr>
        <w:t>3条，分别从沼液的质量，沼液的储存和沼液施用时期等一般要求</w:t>
      </w:r>
      <w:r>
        <w:rPr>
          <w:rFonts w:ascii="Times New Roman" w:hAnsi="Times New Roman" w:eastAsia="宋体" w:cs="Times New Roman"/>
          <w:color w:val="000000"/>
          <w:kern w:val="0"/>
          <w:sz w:val="24"/>
          <w:szCs w:val="24"/>
        </w:rPr>
        <w:t>进行约束。</w:t>
      </w:r>
    </w:p>
    <w:p w14:paraId="5AECCFBE">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 农用沼液还田前需进行无害化和稳定化，对于中常温厌氧发酵沼液，推荐贮存 3-6 个月，高温厌氧发酵沼液可根据无害化检测结果适当缩短贮存时间。</w:t>
      </w:r>
    </w:p>
    <w:p w14:paraId="49EA984B">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确定本要求的依据在于</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大量的研究结果显示在15℃-40℃下，畜禽粪污和各类秸秆等厌氧发酵下产气整体表现为前高后低</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但发酵持续时间较长，到第55天，仍能维持一定量的发酵产气。为防止沼液在田间继续发酵影响作物生产，本标准推荐储存3个月以上作为稳定期。在温度较低的区域，冬季没有施用沼液的场景，建议储存最长可至6个月。</w:t>
      </w:r>
    </w:p>
    <w:p w14:paraId="47E16125">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 沼液存储期间要覆盖，配合沼液调酸技术将pH调节至6.5~7.5，保</w:t>
      </w:r>
      <w:r>
        <w:rPr>
          <w:rFonts w:hint="eastAsia" w:ascii="Times New Roman" w:hAnsi="Times New Roman" w:eastAsia="宋体" w:cs="Times New Roman"/>
          <w:color w:val="000000"/>
          <w:kern w:val="0"/>
          <w:sz w:val="24"/>
          <w:szCs w:val="24"/>
        </w:rPr>
        <w:t>留沼液养分。</w:t>
      </w:r>
    </w:p>
    <w:p w14:paraId="2C58917F">
      <w:pPr>
        <w:adjustRightInd w:val="0"/>
        <w:snapToGrid w:val="0"/>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沼液由于发酵程度及发酵原料的不同，pH值也不同</w:t>
      </w:r>
      <w:r>
        <w:rPr>
          <w:rFonts w:hint="eastAsia" w:ascii="Times New Roman" w:hAnsi="Times New Roman" w:eastAsia="宋体" w:cs="Times New Roman"/>
          <w:color w:val="000000"/>
          <w:sz w:val="24"/>
          <w:szCs w:val="24"/>
        </w:rPr>
        <w:t>。资料显示，</w:t>
      </w:r>
      <w:r>
        <w:rPr>
          <w:rFonts w:ascii="Times New Roman" w:hAnsi="Times New Roman" w:eastAsia="宋体" w:cs="Times New Roman"/>
          <w:color w:val="000000"/>
          <w:sz w:val="24"/>
          <w:szCs w:val="24"/>
        </w:rPr>
        <w:t>全国各类沼液整体呈弱碱性，不同类型的沼液pH差异不大，不同类型沼液</w:t>
      </w:r>
      <w:r>
        <w:rPr>
          <w:rFonts w:hint="eastAsia" w:ascii="Times New Roman" w:hAnsi="Times New Roman" w:eastAsia="宋体" w:cs="Times New Roman"/>
          <w:color w:val="000000"/>
          <w:sz w:val="24"/>
          <w:szCs w:val="24"/>
        </w:rPr>
        <w:t>平均值</w:t>
      </w:r>
      <w:r>
        <w:rPr>
          <w:rFonts w:ascii="Times New Roman" w:hAnsi="Times New Roman" w:eastAsia="宋体" w:cs="Times New Roman"/>
          <w:color w:val="000000"/>
          <w:sz w:val="24"/>
          <w:szCs w:val="24"/>
        </w:rPr>
        <w:t>介于7.47-7.84之间</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由于沼液的弱碱性，</w:t>
      </w:r>
      <w:r>
        <w:rPr>
          <w:rFonts w:hint="eastAsia" w:ascii="Times New Roman" w:hAnsi="Times New Roman" w:eastAsia="宋体" w:cs="Times New Roman"/>
          <w:color w:val="000000"/>
          <w:sz w:val="24"/>
          <w:szCs w:val="24"/>
        </w:rPr>
        <w:t>沼液</w:t>
      </w:r>
      <w:r>
        <w:rPr>
          <w:rFonts w:ascii="Times New Roman" w:hAnsi="Times New Roman" w:eastAsia="宋体" w:cs="Times New Roman"/>
          <w:color w:val="000000"/>
          <w:sz w:val="24"/>
          <w:szCs w:val="24"/>
        </w:rPr>
        <w:t>储存和农田利用过程中存在较高的氨挥发风险</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特别是与碱性肥料掺混施用时氨挥发风险更高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因此提倡对沼液进行酸化处置</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设置酸化后的沼液pH保持在</w:t>
      </w:r>
      <w:r>
        <w:rPr>
          <w:rFonts w:hint="eastAsia" w:ascii="Times New Roman" w:hAnsi="Times New Roman" w:eastAsia="宋体" w:cs="Times New Roman"/>
          <w:color w:val="000000"/>
          <w:sz w:val="24"/>
          <w:szCs w:val="24"/>
        </w:rPr>
        <w:t>6</w:t>
      </w:r>
      <w:r>
        <w:rPr>
          <w:rFonts w:ascii="Times New Roman" w:hAnsi="Times New Roman" w:eastAsia="宋体" w:cs="Times New Roman"/>
          <w:color w:val="000000"/>
          <w:sz w:val="24"/>
          <w:szCs w:val="24"/>
        </w:rPr>
        <w:t>.5-7.5</w:t>
      </w:r>
      <w:r>
        <w:rPr>
          <w:rFonts w:hint="eastAsia" w:ascii="Times New Roman" w:hAnsi="Times New Roman" w:eastAsia="宋体" w:cs="Times New Roman"/>
          <w:color w:val="000000"/>
          <w:sz w:val="24"/>
          <w:szCs w:val="24"/>
        </w:rPr>
        <w:t>。</w:t>
      </w:r>
    </w:p>
    <w:p w14:paraId="5CD292CC">
      <w:pPr>
        <w:adjustRightInd w:val="0"/>
        <w:snapToGrid w:val="0"/>
        <w:spacing w:line="360" w:lineRule="auto"/>
        <w:ind w:firstLine="480"/>
        <w:jc w:val="left"/>
        <w:rPr>
          <w:rFonts w:ascii="Times New Roman" w:hAnsi="Times New Roman" w:eastAsia="宋体" w:cs="Times New Roman"/>
          <w:color w:val="000000"/>
          <w:sz w:val="24"/>
          <w:szCs w:val="24"/>
        </w:rPr>
      </w:pPr>
    </w:p>
    <w:p w14:paraId="155677E6">
      <w:pPr>
        <w:adjustRightInd w:val="0"/>
        <w:snapToGrid w:val="0"/>
        <w:spacing w:line="360" w:lineRule="auto"/>
        <w:jc w:val="center"/>
        <w:rPr>
          <w:rFonts w:ascii="Times New Roman" w:hAnsi="Times New Roman" w:eastAsia="宋体" w:cs="Times New Roman"/>
          <w:szCs w:val="20"/>
        </w:rPr>
      </w:pPr>
      <w:r>
        <w:rPr>
          <w:rFonts w:ascii="Times New Roman" w:hAnsi="Times New Roman" w:eastAsia="宋体" w:cs="Times New Roman"/>
          <w:szCs w:val="20"/>
        </w:rPr>
        <w:t>表1 全国主要类型沼液pH值</w:t>
      </w:r>
    </w:p>
    <w:tbl>
      <w:tblPr>
        <w:tblStyle w:val="12"/>
        <w:tblW w:w="5000" w:type="pct"/>
        <w:tblInd w:w="0" w:type="dxa"/>
        <w:tblLayout w:type="autofit"/>
        <w:tblCellMar>
          <w:top w:w="0" w:type="dxa"/>
          <w:left w:w="0" w:type="dxa"/>
          <w:bottom w:w="0" w:type="dxa"/>
          <w:right w:w="0" w:type="dxa"/>
        </w:tblCellMar>
      </w:tblPr>
      <w:tblGrid>
        <w:gridCol w:w="2321"/>
        <w:gridCol w:w="1949"/>
        <w:gridCol w:w="1982"/>
        <w:gridCol w:w="2084"/>
      </w:tblGrid>
      <w:tr w14:paraId="55926689">
        <w:tblPrEx>
          <w:tblCellMar>
            <w:top w:w="0" w:type="dxa"/>
            <w:left w:w="0" w:type="dxa"/>
            <w:bottom w:w="0" w:type="dxa"/>
            <w:right w:w="0" w:type="dxa"/>
          </w:tblCellMar>
        </w:tblPrEx>
        <w:trPr>
          <w:trHeight w:val="340" w:hRule="atLeast"/>
        </w:trPr>
        <w:tc>
          <w:tcPr>
            <w:tcW w:w="1392" w:type="pct"/>
            <w:tcBorders>
              <w:top w:val="single" w:color="auto" w:sz="12" w:space="0"/>
              <w:left w:val="single" w:color="FFFFFF" w:sz="8" w:space="0"/>
              <w:bottom w:val="single" w:color="000000" w:sz="8" w:space="0"/>
              <w:right w:val="single" w:color="FFFFFF" w:sz="8" w:space="0"/>
            </w:tcBorders>
            <w:shd w:val="clear" w:color="auto" w:fill="auto"/>
            <w:tcMar>
              <w:top w:w="15" w:type="dxa"/>
              <w:left w:w="15" w:type="dxa"/>
              <w:bottom w:w="0" w:type="dxa"/>
              <w:right w:w="15" w:type="dxa"/>
            </w:tcMar>
            <w:vAlign w:val="center"/>
          </w:tcPr>
          <w:p w14:paraId="31427997">
            <w:pPr>
              <w:adjustRightInd w:val="0"/>
              <w:snapToGrid w:val="0"/>
              <w:spacing w:line="360" w:lineRule="auto"/>
              <w:ind w:firstLine="420" w:firstLineChars="200"/>
              <w:jc w:val="left"/>
              <w:rPr>
                <w:rFonts w:ascii="Times New Roman" w:hAnsi="Times New Roman" w:eastAsia="仿宋" w:cs="Times New Roman"/>
                <w:color w:val="000000"/>
                <w:szCs w:val="21"/>
              </w:rPr>
            </w:pPr>
          </w:p>
        </w:tc>
        <w:tc>
          <w:tcPr>
            <w:tcW w:w="1169" w:type="pct"/>
            <w:tcBorders>
              <w:top w:val="single" w:color="auto" w:sz="12" w:space="0"/>
              <w:left w:val="single" w:color="FFFFFF" w:sz="8" w:space="0"/>
              <w:bottom w:val="single" w:color="000000" w:sz="8" w:space="0"/>
              <w:right w:val="single" w:color="FFFFFF" w:sz="8" w:space="0"/>
            </w:tcBorders>
            <w:shd w:val="clear" w:color="auto" w:fill="auto"/>
            <w:tcMar>
              <w:top w:w="15" w:type="dxa"/>
              <w:left w:w="15" w:type="dxa"/>
              <w:bottom w:w="0" w:type="dxa"/>
              <w:right w:w="15" w:type="dxa"/>
            </w:tcMar>
            <w:vAlign w:val="center"/>
          </w:tcPr>
          <w:p w14:paraId="5E3F50D3">
            <w:pPr>
              <w:adjustRightInd w:val="0"/>
              <w:snapToGrid w:val="0"/>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pH平均值</w:t>
            </w:r>
          </w:p>
        </w:tc>
        <w:tc>
          <w:tcPr>
            <w:tcW w:w="1189" w:type="pct"/>
            <w:tcBorders>
              <w:top w:val="single" w:color="auto" w:sz="12" w:space="0"/>
              <w:left w:val="single" w:color="FFFFFF" w:sz="8" w:space="0"/>
              <w:bottom w:val="single" w:color="000000" w:sz="8" w:space="0"/>
              <w:right w:val="single" w:color="FFFFFF" w:sz="8" w:space="0"/>
            </w:tcBorders>
            <w:shd w:val="clear" w:color="auto" w:fill="auto"/>
            <w:tcMar>
              <w:top w:w="15" w:type="dxa"/>
              <w:left w:w="15" w:type="dxa"/>
              <w:bottom w:w="0" w:type="dxa"/>
              <w:right w:w="15" w:type="dxa"/>
            </w:tcMar>
            <w:vAlign w:val="center"/>
          </w:tcPr>
          <w:p w14:paraId="3E0C869E">
            <w:pPr>
              <w:adjustRightInd w:val="0"/>
              <w:snapToGrid w:val="0"/>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pH最小值</w:t>
            </w:r>
          </w:p>
        </w:tc>
        <w:tc>
          <w:tcPr>
            <w:tcW w:w="1250" w:type="pct"/>
            <w:tcBorders>
              <w:top w:val="single" w:color="auto" w:sz="12" w:space="0"/>
              <w:left w:val="single" w:color="FFFFFF" w:sz="8" w:space="0"/>
              <w:bottom w:val="single" w:color="000000" w:sz="8" w:space="0"/>
              <w:right w:val="single" w:color="FFFFFF" w:sz="8" w:space="0"/>
            </w:tcBorders>
            <w:shd w:val="clear" w:color="auto" w:fill="auto"/>
            <w:tcMar>
              <w:top w:w="15" w:type="dxa"/>
              <w:left w:w="15" w:type="dxa"/>
              <w:bottom w:w="0" w:type="dxa"/>
              <w:right w:w="15" w:type="dxa"/>
            </w:tcMar>
            <w:vAlign w:val="center"/>
          </w:tcPr>
          <w:p w14:paraId="01953EAF">
            <w:pPr>
              <w:adjustRightInd w:val="0"/>
              <w:snapToGrid w:val="0"/>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pH最大值</w:t>
            </w:r>
          </w:p>
        </w:tc>
      </w:tr>
      <w:tr w14:paraId="4E70B794">
        <w:tblPrEx>
          <w:tblCellMar>
            <w:top w:w="0" w:type="dxa"/>
            <w:left w:w="0" w:type="dxa"/>
            <w:bottom w:w="0" w:type="dxa"/>
            <w:right w:w="0" w:type="dxa"/>
          </w:tblCellMar>
        </w:tblPrEx>
        <w:trPr>
          <w:trHeight w:val="340" w:hRule="atLeast"/>
        </w:trPr>
        <w:tc>
          <w:tcPr>
            <w:tcW w:w="1392" w:type="pct"/>
            <w:tcBorders>
              <w:top w:val="single" w:color="000000"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6C7480FE">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鸡粪沼液</w:t>
            </w:r>
          </w:p>
        </w:tc>
        <w:tc>
          <w:tcPr>
            <w:tcW w:w="1169" w:type="pct"/>
            <w:tcBorders>
              <w:top w:val="single" w:color="000000"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4C8572CE">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7.71</w:t>
            </w:r>
          </w:p>
        </w:tc>
        <w:tc>
          <w:tcPr>
            <w:tcW w:w="1189" w:type="pct"/>
            <w:tcBorders>
              <w:top w:val="single" w:color="000000"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36921D48">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6.50</w:t>
            </w:r>
          </w:p>
        </w:tc>
        <w:tc>
          <w:tcPr>
            <w:tcW w:w="1250" w:type="pct"/>
            <w:tcBorders>
              <w:top w:val="single" w:color="000000"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1E7A21D5">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8.40</w:t>
            </w:r>
          </w:p>
        </w:tc>
      </w:tr>
      <w:tr w14:paraId="5BB7D199">
        <w:tblPrEx>
          <w:tblCellMar>
            <w:top w:w="0" w:type="dxa"/>
            <w:left w:w="0" w:type="dxa"/>
            <w:bottom w:w="0" w:type="dxa"/>
            <w:right w:w="0" w:type="dxa"/>
          </w:tblCellMar>
        </w:tblPrEx>
        <w:trPr>
          <w:trHeight w:val="340" w:hRule="atLeast"/>
        </w:trPr>
        <w:tc>
          <w:tcPr>
            <w:tcW w:w="1392"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553F8261">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奶牛粪沼液</w:t>
            </w:r>
          </w:p>
        </w:tc>
        <w:tc>
          <w:tcPr>
            <w:tcW w:w="1169"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0079A65F">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7.84</w:t>
            </w:r>
          </w:p>
        </w:tc>
        <w:tc>
          <w:tcPr>
            <w:tcW w:w="1189"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55F049E6">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7.23</w:t>
            </w:r>
          </w:p>
        </w:tc>
        <w:tc>
          <w:tcPr>
            <w:tcW w:w="1250"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7E4FF004">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8.72</w:t>
            </w:r>
          </w:p>
        </w:tc>
      </w:tr>
      <w:tr w14:paraId="77C470DB">
        <w:tblPrEx>
          <w:tblCellMar>
            <w:top w:w="0" w:type="dxa"/>
            <w:left w:w="0" w:type="dxa"/>
            <w:bottom w:w="0" w:type="dxa"/>
            <w:right w:w="0" w:type="dxa"/>
          </w:tblCellMar>
        </w:tblPrEx>
        <w:trPr>
          <w:trHeight w:val="340" w:hRule="atLeast"/>
        </w:trPr>
        <w:tc>
          <w:tcPr>
            <w:tcW w:w="1392"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35F0B612">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肉牛粪沼液</w:t>
            </w:r>
          </w:p>
        </w:tc>
        <w:tc>
          <w:tcPr>
            <w:tcW w:w="1169"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6E85A20F">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7.47</w:t>
            </w:r>
          </w:p>
        </w:tc>
        <w:tc>
          <w:tcPr>
            <w:tcW w:w="1189"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17A70B45">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7.10</w:t>
            </w:r>
          </w:p>
        </w:tc>
        <w:tc>
          <w:tcPr>
            <w:tcW w:w="1250"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7E68063E">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8.20</w:t>
            </w:r>
          </w:p>
        </w:tc>
      </w:tr>
      <w:tr w14:paraId="2DF0DEF7">
        <w:tblPrEx>
          <w:tblCellMar>
            <w:top w:w="0" w:type="dxa"/>
            <w:left w:w="0" w:type="dxa"/>
            <w:bottom w:w="0" w:type="dxa"/>
            <w:right w:w="0" w:type="dxa"/>
          </w:tblCellMar>
        </w:tblPrEx>
        <w:trPr>
          <w:trHeight w:val="340" w:hRule="atLeast"/>
        </w:trPr>
        <w:tc>
          <w:tcPr>
            <w:tcW w:w="1392"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462A76F9">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猪粪沼液</w:t>
            </w:r>
          </w:p>
        </w:tc>
        <w:tc>
          <w:tcPr>
            <w:tcW w:w="1169"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6622FA35">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7.62</w:t>
            </w:r>
          </w:p>
        </w:tc>
        <w:tc>
          <w:tcPr>
            <w:tcW w:w="1189"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66E5B598">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6.25</w:t>
            </w:r>
          </w:p>
        </w:tc>
        <w:tc>
          <w:tcPr>
            <w:tcW w:w="1250" w:type="pct"/>
            <w:tcBorders>
              <w:top w:val="single" w:color="FFFFFF" w:sz="8" w:space="0"/>
              <w:left w:val="single" w:color="FFFFFF" w:sz="8" w:space="0"/>
              <w:bottom w:val="single" w:color="FFFFFF" w:sz="8" w:space="0"/>
              <w:right w:val="single" w:color="FFFFFF" w:sz="8" w:space="0"/>
            </w:tcBorders>
            <w:shd w:val="clear" w:color="auto" w:fill="auto"/>
            <w:tcMar>
              <w:top w:w="15" w:type="dxa"/>
              <w:left w:w="15" w:type="dxa"/>
              <w:bottom w:w="0" w:type="dxa"/>
              <w:right w:w="15" w:type="dxa"/>
            </w:tcMar>
            <w:vAlign w:val="center"/>
          </w:tcPr>
          <w:p w14:paraId="1574691B">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9.00</w:t>
            </w:r>
          </w:p>
        </w:tc>
      </w:tr>
      <w:tr w14:paraId="6B465A3A">
        <w:tblPrEx>
          <w:tblCellMar>
            <w:top w:w="0" w:type="dxa"/>
            <w:left w:w="0" w:type="dxa"/>
            <w:bottom w:w="0" w:type="dxa"/>
            <w:right w:w="0" w:type="dxa"/>
          </w:tblCellMar>
        </w:tblPrEx>
        <w:trPr>
          <w:trHeight w:val="340" w:hRule="atLeast"/>
        </w:trPr>
        <w:tc>
          <w:tcPr>
            <w:tcW w:w="1392" w:type="pct"/>
            <w:tcBorders>
              <w:top w:val="single" w:color="FFFFFF" w:sz="8" w:space="0"/>
              <w:left w:val="single" w:color="FFFFFF" w:sz="8" w:space="0"/>
              <w:bottom w:val="single" w:color="auto" w:sz="12" w:space="0"/>
              <w:right w:val="single" w:color="FFFFFF" w:sz="8" w:space="0"/>
            </w:tcBorders>
            <w:shd w:val="clear" w:color="auto" w:fill="auto"/>
            <w:tcMar>
              <w:top w:w="15" w:type="dxa"/>
              <w:left w:w="15" w:type="dxa"/>
              <w:bottom w:w="0" w:type="dxa"/>
              <w:right w:w="15" w:type="dxa"/>
            </w:tcMar>
            <w:vAlign w:val="center"/>
          </w:tcPr>
          <w:p w14:paraId="0CA67F61">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秸秆沼液</w:t>
            </w:r>
          </w:p>
        </w:tc>
        <w:tc>
          <w:tcPr>
            <w:tcW w:w="1169" w:type="pct"/>
            <w:tcBorders>
              <w:top w:val="single" w:color="FFFFFF" w:sz="8" w:space="0"/>
              <w:left w:val="single" w:color="FFFFFF" w:sz="8" w:space="0"/>
              <w:bottom w:val="single" w:color="auto" w:sz="12" w:space="0"/>
              <w:right w:val="single" w:color="FFFFFF" w:sz="8" w:space="0"/>
            </w:tcBorders>
            <w:shd w:val="clear" w:color="auto" w:fill="auto"/>
            <w:tcMar>
              <w:top w:w="15" w:type="dxa"/>
              <w:left w:w="15" w:type="dxa"/>
              <w:bottom w:w="0" w:type="dxa"/>
              <w:right w:w="15" w:type="dxa"/>
            </w:tcMar>
            <w:vAlign w:val="center"/>
          </w:tcPr>
          <w:p w14:paraId="6A7150F3">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7.72</w:t>
            </w:r>
          </w:p>
        </w:tc>
        <w:tc>
          <w:tcPr>
            <w:tcW w:w="1189" w:type="pct"/>
            <w:tcBorders>
              <w:top w:val="single" w:color="FFFFFF" w:sz="8" w:space="0"/>
              <w:left w:val="single" w:color="FFFFFF" w:sz="8" w:space="0"/>
              <w:bottom w:val="single" w:color="auto" w:sz="12" w:space="0"/>
              <w:right w:val="single" w:color="FFFFFF" w:sz="8" w:space="0"/>
            </w:tcBorders>
            <w:shd w:val="clear" w:color="auto" w:fill="auto"/>
            <w:tcMar>
              <w:top w:w="15" w:type="dxa"/>
              <w:left w:w="15" w:type="dxa"/>
              <w:bottom w:w="0" w:type="dxa"/>
              <w:right w:w="15" w:type="dxa"/>
            </w:tcMar>
            <w:vAlign w:val="center"/>
          </w:tcPr>
          <w:p w14:paraId="183B7AA2">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6.86</w:t>
            </w:r>
          </w:p>
        </w:tc>
        <w:tc>
          <w:tcPr>
            <w:tcW w:w="1250" w:type="pct"/>
            <w:tcBorders>
              <w:top w:val="single" w:color="FFFFFF" w:sz="8" w:space="0"/>
              <w:left w:val="single" w:color="FFFFFF" w:sz="8" w:space="0"/>
              <w:bottom w:val="single" w:color="auto" w:sz="12" w:space="0"/>
              <w:right w:val="single" w:color="FFFFFF" w:sz="8" w:space="0"/>
            </w:tcBorders>
            <w:shd w:val="clear" w:color="auto" w:fill="auto"/>
            <w:tcMar>
              <w:top w:w="15" w:type="dxa"/>
              <w:left w:w="15" w:type="dxa"/>
              <w:bottom w:w="0" w:type="dxa"/>
              <w:right w:w="15" w:type="dxa"/>
            </w:tcMar>
            <w:vAlign w:val="center"/>
          </w:tcPr>
          <w:p w14:paraId="3CDC5219">
            <w:pPr>
              <w:adjustRightInd w:val="0"/>
              <w:snapToGrid w:val="0"/>
              <w:spacing w:line="360" w:lineRule="auto"/>
              <w:ind w:firstLine="420" w:firstLineChars="20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8.60</w:t>
            </w:r>
          </w:p>
        </w:tc>
      </w:tr>
    </w:tbl>
    <w:p w14:paraId="05005869">
      <w:pPr>
        <w:widowControl/>
        <w:spacing w:line="360" w:lineRule="auto"/>
        <w:ind w:firstLine="480" w:firstLineChars="200"/>
        <w:jc w:val="left"/>
        <w:rPr>
          <w:rFonts w:ascii="Times New Roman" w:hAnsi="Times New Roman" w:eastAsia="宋体" w:cs="Times New Roman"/>
          <w:color w:val="000000"/>
          <w:kern w:val="0"/>
          <w:sz w:val="24"/>
          <w:szCs w:val="24"/>
        </w:rPr>
      </w:pPr>
    </w:p>
    <w:p w14:paraId="794C7900">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4.3 沼液施用时期应避免在暴雨前施用。</w:t>
      </w:r>
    </w:p>
    <w:p w14:paraId="05CAF26F">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标准中提出避免暴雨前施用等核心要求，是基于沼液还田同时伴随较大的用水量</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在夏季暴雨前施用会造成大量养分损失和积雨</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因此标准中提出应避免在暴雨前进行沼液农田施用</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作为沼液还田的</w:t>
      </w:r>
      <w:r>
        <w:rPr>
          <w:rFonts w:hint="eastAsia" w:ascii="Times New Roman" w:hAnsi="Times New Roman" w:eastAsia="宋体" w:cs="Times New Roman"/>
          <w:color w:val="000000"/>
          <w:kern w:val="0"/>
          <w:sz w:val="24"/>
          <w:szCs w:val="24"/>
        </w:rPr>
        <w:t>基本要求</w:t>
      </w:r>
      <w:r>
        <w:rPr>
          <w:rFonts w:ascii="Times New Roman" w:hAnsi="Times New Roman" w:eastAsia="宋体" w:cs="Times New Roman"/>
          <w:color w:val="000000"/>
          <w:kern w:val="0"/>
          <w:sz w:val="24"/>
          <w:szCs w:val="24"/>
        </w:rPr>
        <w:t>之一。</w:t>
      </w:r>
    </w:p>
    <w:p w14:paraId="55C3427F">
      <w:pPr>
        <w:widowControl/>
        <w:spacing w:line="360" w:lineRule="auto"/>
        <w:ind w:firstLine="480" w:firstLineChars="200"/>
        <w:jc w:val="left"/>
        <w:rPr>
          <w:rFonts w:ascii="Times New Roman" w:hAnsi="Times New Roman" w:eastAsia="宋体" w:cs="Times New Roman"/>
          <w:color w:val="000000"/>
          <w:kern w:val="0"/>
          <w:sz w:val="24"/>
          <w:szCs w:val="24"/>
        </w:rPr>
      </w:pPr>
    </w:p>
    <w:p w14:paraId="3EDAE87D">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5. 质量要求与检测方法</w:t>
      </w:r>
    </w:p>
    <w:p w14:paraId="6F15E1E4">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r>
        <w:rPr>
          <w:rFonts w:hint="eastAsia" w:ascii="Times New Roman" w:hAnsi="Times New Roman" w:eastAsia="宋体" w:cs="Times New Roman"/>
          <w:color w:val="000000"/>
          <w:kern w:val="0"/>
          <w:sz w:val="24"/>
          <w:szCs w:val="24"/>
        </w:rPr>
        <w:t>.1 农用沼液按使用功能分为三类：Ⅰ类主要适用于粮油、蔬菜等食用类草本作物；Ⅱ类主要适用于果树、茶树等食用类木本作物；Ⅲ类主要适用于棉麻、园林绿化等非食用类作物。</w:t>
      </w:r>
    </w:p>
    <w:p w14:paraId="7F093678">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确定依据如下</w:t>
      </w:r>
      <w:r>
        <w:rPr>
          <w:rFonts w:hint="eastAsia" w:ascii="Times New Roman" w:hAnsi="Times New Roman" w:eastAsia="宋体" w:cs="Times New Roman"/>
          <w:color w:val="000000"/>
          <w:kern w:val="0"/>
          <w:sz w:val="24"/>
          <w:szCs w:val="24"/>
        </w:rPr>
        <w:t>：</w:t>
      </w:r>
    </w:p>
    <w:p w14:paraId="3587E9E8">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本标准按照</w:t>
      </w:r>
      <w:r>
        <w:rPr>
          <w:rFonts w:hint="eastAsia" w:ascii="Times New Roman" w:hAnsi="Times New Roman" w:eastAsia="宋体" w:cs="Times New Roman"/>
          <w:color w:val="000000"/>
          <w:kern w:val="0"/>
          <w:sz w:val="24"/>
          <w:szCs w:val="24"/>
        </w:rPr>
        <w:t>GB/T 40750的分类，</w:t>
      </w:r>
      <w:r>
        <w:rPr>
          <w:rFonts w:ascii="Times New Roman" w:hAnsi="Times New Roman" w:eastAsia="宋体" w:cs="Times New Roman"/>
          <w:color w:val="000000"/>
          <w:kern w:val="0"/>
          <w:sz w:val="24"/>
          <w:szCs w:val="24"/>
        </w:rPr>
        <w:t>按作物类型下重金属转移的风险性将农用沼液分为三类</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分别为</w:t>
      </w:r>
      <w:r>
        <w:rPr>
          <w:rFonts w:ascii="Times New Roman" w:hAnsi="Times New Roman" w:eastAsia="微软雅黑" w:cs="Times New Roman"/>
          <w:color w:val="000000"/>
          <w:kern w:val="0"/>
          <w:sz w:val="24"/>
          <w:szCs w:val="24"/>
        </w:rPr>
        <w:t>Ⅰ</w:t>
      </w:r>
      <w:r>
        <w:rPr>
          <w:rFonts w:ascii="Times New Roman" w:hAnsi="Times New Roman" w:eastAsia="宋体" w:cs="Times New Roman"/>
          <w:color w:val="000000"/>
          <w:kern w:val="0"/>
          <w:sz w:val="24"/>
          <w:szCs w:val="24"/>
        </w:rPr>
        <w:t xml:space="preserve"> 类：食用类草本作物；</w:t>
      </w:r>
      <w:r>
        <w:rPr>
          <w:rFonts w:ascii="Times New Roman" w:hAnsi="Times New Roman" w:eastAsia="微软雅黑" w:cs="Times New Roman"/>
          <w:color w:val="000000"/>
          <w:kern w:val="0"/>
          <w:sz w:val="24"/>
          <w:szCs w:val="24"/>
        </w:rPr>
        <w:t>Ⅱ</w:t>
      </w:r>
      <w:r>
        <w:rPr>
          <w:rFonts w:ascii="Times New Roman" w:hAnsi="Times New Roman" w:eastAsia="宋体" w:cs="Times New Roman"/>
          <w:color w:val="000000"/>
          <w:kern w:val="0"/>
          <w:sz w:val="24"/>
          <w:szCs w:val="24"/>
        </w:rPr>
        <w:t xml:space="preserve"> 类：食用类木本作物；</w:t>
      </w:r>
      <w:r>
        <w:rPr>
          <w:rFonts w:ascii="Times New Roman" w:hAnsi="Times New Roman" w:eastAsia="微软雅黑" w:cs="Times New Roman"/>
          <w:color w:val="000000"/>
          <w:kern w:val="0"/>
          <w:sz w:val="24"/>
          <w:szCs w:val="24"/>
        </w:rPr>
        <w:t>Ⅲ</w:t>
      </w:r>
      <w:r>
        <w:rPr>
          <w:rFonts w:ascii="Times New Roman" w:hAnsi="Times New Roman" w:eastAsia="宋体" w:cs="Times New Roman"/>
          <w:color w:val="000000"/>
          <w:kern w:val="0"/>
          <w:sz w:val="24"/>
          <w:szCs w:val="24"/>
        </w:rPr>
        <w:t xml:space="preserve"> 类：非食用类作物，</w:t>
      </w:r>
      <w:r>
        <w:rPr>
          <w:rFonts w:hint="eastAsia" w:ascii="Times New Roman" w:hAnsi="Times New Roman" w:eastAsia="宋体" w:cs="Times New Roman"/>
          <w:color w:val="000000"/>
          <w:kern w:val="0"/>
          <w:sz w:val="24"/>
          <w:szCs w:val="24"/>
        </w:rPr>
        <w:t>对</w:t>
      </w:r>
      <w:r>
        <w:rPr>
          <w:rFonts w:ascii="Times New Roman" w:hAnsi="Times New Roman" w:eastAsia="宋体" w:cs="Times New Roman"/>
          <w:color w:val="000000"/>
          <w:kern w:val="0"/>
          <w:sz w:val="24"/>
          <w:szCs w:val="24"/>
        </w:rPr>
        <w:t>每一类施用沼液的质量</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如酸碱度、水不溶物、蛔虫卵死亡率、</w:t>
      </w:r>
      <w:r>
        <w:rPr>
          <w:rFonts w:hint="eastAsia" w:ascii="Times New Roman" w:hAnsi="Times New Roman" w:eastAsia="宋体" w:cs="Times New Roman"/>
          <w:color w:val="000000"/>
          <w:kern w:val="0"/>
          <w:sz w:val="24"/>
          <w:szCs w:val="24"/>
        </w:rPr>
        <w:t>沼液储存、施用过程中周边空气臭气浓度以及</w:t>
      </w:r>
      <w:r>
        <w:rPr>
          <w:rFonts w:ascii="Times New Roman" w:hAnsi="Times New Roman" w:eastAsia="宋体" w:cs="Times New Roman"/>
          <w:color w:val="000000"/>
          <w:kern w:val="0"/>
          <w:sz w:val="24"/>
          <w:szCs w:val="24"/>
        </w:rPr>
        <w:t>重金属含量等质量指标，并对应给出各指标的检测依据，实现沼液质量分类管控，适配不同作物的安全种植需求。</w:t>
      </w:r>
    </w:p>
    <w:p w14:paraId="3A252958">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I类主要适用于粮食、蔬菜、瓜类、水果和中药材等食物类草本作物；对应一级标准，保护食物类草本作物生产，维护作物耐受力、耕地和农产品质量安全，以及环境安全的限制值。</w:t>
      </w:r>
    </w:p>
    <w:p w14:paraId="3EAFFA6C">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Ⅱ类主要适用于水果、茶叶、中药材等耐受力较强的食物类木本作物和油料、糖料、饲料等非直接食用类草本作物；对应二级标准，为保护食物类木本作物和高大草本作物生产，维护作物耐受力、耕地和农产品质量安全，以及环境安全的限制值。</w:t>
      </w:r>
    </w:p>
    <w:p w14:paraId="0026D8D4">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Ⅲ类主要适用于棉花、麻类、桑树等非食物类经济作物和花卉苗木、生态树林等；对应三级标准，为保护非食物类经济作物生产，维护作物耐受力、耕地质量安全和环境安全的限制值。</w:t>
      </w:r>
    </w:p>
    <w:p w14:paraId="6D58FD74">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 三类的农用沼液</w:t>
      </w:r>
      <w:r>
        <w:rPr>
          <w:rFonts w:hint="eastAsia" w:ascii="Times New Roman" w:hAnsi="Times New Roman" w:eastAsia="宋体" w:cs="Times New Roman"/>
          <w:color w:val="000000"/>
          <w:kern w:val="0"/>
          <w:sz w:val="24"/>
          <w:szCs w:val="24"/>
        </w:rPr>
        <w:t>质量要求与检测方法见表</w:t>
      </w:r>
      <w:r>
        <w:rPr>
          <w:rFonts w:ascii="Times New Roman" w:hAnsi="Times New Roman" w:eastAsia="宋体" w:cs="Times New Roman"/>
          <w:color w:val="000000"/>
          <w:kern w:val="0"/>
          <w:sz w:val="24"/>
          <w:szCs w:val="24"/>
        </w:rPr>
        <w:t>2.</w:t>
      </w:r>
    </w:p>
    <w:p w14:paraId="0A002D14">
      <w:pPr>
        <w:jc w:val="center"/>
        <w:rPr>
          <w:rFonts w:ascii="黑体" w:hAnsi="黑体" w:eastAsia="黑体"/>
        </w:rPr>
      </w:pPr>
      <w:r>
        <w:rPr>
          <w:rFonts w:ascii="黑体" w:hAnsi="黑体" w:eastAsia="黑体"/>
        </w:rPr>
        <w:t>表2 农用沼液的质量要求与检测方法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866"/>
        <w:gridCol w:w="1137"/>
        <w:gridCol w:w="1023"/>
        <w:gridCol w:w="1873"/>
      </w:tblGrid>
      <w:tr w14:paraId="4696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vMerge w:val="restart"/>
          </w:tcPr>
          <w:p w14:paraId="43CE0359">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检测项目</w:t>
            </w:r>
          </w:p>
        </w:tc>
        <w:tc>
          <w:tcPr>
            <w:tcW w:w="3026" w:type="dxa"/>
            <w:gridSpan w:val="3"/>
          </w:tcPr>
          <w:p w14:paraId="5163582E">
            <w:pPr>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非浓缩沼液</w:t>
            </w:r>
          </w:p>
        </w:tc>
        <w:tc>
          <w:tcPr>
            <w:tcW w:w="1873" w:type="dxa"/>
            <w:vMerge w:val="restart"/>
          </w:tcPr>
          <w:p w14:paraId="6B3AB74C">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检测依据</w:t>
            </w:r>
          </w:p>
        </w:tc>
      </w:tr>
      <w:tr w14:paraId="105B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97" w:type="dxa"/>
            <w:gridSpan w:val="2"/>
            <w:vMerge w:val="continue"/>
          </w:tcPr>
          <w:p w14:paraId="22A71D7D">
            <w:pPr>
              <w:rPr>
                <w:rFonts w:ascii="Times New Roman" w:hAnsi="Times New Roman" w:eastAsia="仿宋" w:cs="Times New Roman"/>
                <w:kern w:val="0"/>
                <w:sz w:val="20"/>
                <w:szCs w:val="20"/>
              </w:rPr>
            </w:pPr>
          </w:p>
        </w:tc>
        <w:tc>
          <w:tcPr>
            <w:tcW w:w="866" w:type="dxa"/>
          </w:tcPr>
          <w:p w14:paraId="00231663">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Ⅰ 类</w:t>
            </w:r>
          </w:p>
        </w:tc>
        <w:tc>
          <w:tcPr>
            <w:tcW w:w="1137" w:type="dxa"/>
          </w:tcPr>
          <w:p w14:paraId="5D1E7C80">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Ⅱ类</w:t>
            </w:r>
          </w:p>
        </w:tc>
        <w:tc>
          <w:tcPr>
            <w:tcW w:w="1023" w:type="dxa"/>
          </w:tcPr>
          <w:p w14:paraId="759B1E9A">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Ⅲ类</w:t>
            </w:r>
          </w:p>
        </w:tc>
        <w:tc>
          <w:tcPr>
            <w:tcW w:w="1873" w:type="dxa"/>
            <w:vMerge w:val="continue"/>
          </w:tcPr>
          <w:p w14:paraId="5AF1FBF2">
            <w:pPr>
              <w:rPr>
                <w:rFonts w:ascii="Times New Roman" w:hAnsi="Times New Roman" w:eastAsia="仿宋" w:cs="Times New Roman"/>
                <w:kern w:val="0"/>
                <w:sz w:val="20"/>
                <w:szCs w:val="20"/>
              </w:rPr>
            </w:pPr>
          </w:p>
        </w:tc>
      </w:tr>
      <w:tr w14:paraId="3F1F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1A76CFF5">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酸碱度(pH 值）</w:t>
            </w:r>
          </w:p>
        </w:tc>
        <w:tc>
          <w:tcPr>
            <w:tcW w:w="3026" w:type="dxa"/>
            <w:gridSpan w:val="3"/>
          </w:tcPr>
          <w:p w14:paraId="5B14BD19">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5.5 ~8.5</w:t>
            </w:r>
          </w:p>
        </w:tc>
        <w:tc>
          <w:tcPr>
            <w:tcW w:w="1873" w:type="dxa"/>
          </w:tcPr>
          <w:p w14:paraId="45A752C8">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6920</w:t>
            </w:r>
          </w:p>
        </w:tc>
      </w:tr>
      <w:tr w14:paraId="09E6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38C99C92">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水不溶物/(g/L)</w:t>
            </w:r>
          </w:p>
        </w:tc>
        <w:tc>
          <w:tcPr>
            <w:tcW w:w="3026" w:type="dxa"/>
            <w:gridSpan w:val="3"/>
          </w:tcPr>
          <w:p w14:paraId="298862D5">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≤50</w:t>
            </w:r>
          </w:p>
        </w:tc>
        <w:tc>
          <w:tcPr>
            <w:tcW w:w="1873" w:type="dxa"/>
          </w:tcPr>
          <w:p w14:paraId="70445E64">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NY/T 1973</w:t>
            </w:r>
          </w:p>
        </w:tc>
      </w:tr>
      <w:tr w14:paraId="598C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5B911B1E">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蛔虫卵死亡率/%</w:t>
            </w:r>
          </w:p>
        </w:tc>
        <w:tc>
          <w:tcPr>
            <w:tcW w:w="3026" w:type="dxa"/>
            <w:gridSpan w:val="3"/>
          </w:tcPr>
          <w:p w14:paraId="68CA4555">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≥95</w:t>
            </w:r>
          </w:p>
        </w:tc>
        <w:tc>
          <w:tcPr>
            <w:tcW w:w="1873" w:type="dxa"/>
          </w:tcPr>
          <w:p w14:paraId="32D2BC40">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19524.2</w:t>
            </w:r>
          </w:p>
        </w:tc>
      </w:tr>
      <w:tr w14:paraId="520F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04B26A63">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沼液储存、施用过程中周边空气臭气浓度（无量纲）</w:t>
            </w:r>
          </w:p>
        </w:tc>
        <w:tc>
          <w:tcPr>
            <w:tcW w:w="3026" w:type="dxa"/>
            <w:gridSpan w:val="3"/>
          </w:tcPr>
          <w:p w14:paraId="4BA819C0">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≤70</w:t>
            </w:r>
          </w:p>
        </w:tc>
        <w:tc>
          <w:tcPr>
            <w:tcW w:w="1873" w:type="dxa"/>
          </w:tcPr>
          <w:p w14:paraId="0AF0C706">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HJ 1262</w:t>
            </w:r>
          </w:p>
        </w:tc>
      </w:tr>
      <w:tr w14:paraId="3C73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96" w:type="dxa"/>
          </w:tcPr>
          <w:p w14:paraId="49789389">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粪大肠菌值</w:t>
            </w:r>
          </w:p>
        </w:tc>
        <w:tc>
          <w:tcPr>
            <w:tcW w:w="1701" w:type="dxa"/>
          </w:tcPr>
          <w:p w14:paraId="31C0CC6E">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中常温厌氧发酵</w:t>
            </w:r>
            <w:r>
              <w:rPr>
                <w:rFonts w:ascii="Times New Roman" w:hAnsi="Times New Roman" w:eastAsia="仿宋" w:cs="Times New Roman"/>
                <w:kern w:val="0"/>
                <w:sz w:val="20"/>
                <w:szCs w:val="20"/>
              </w:rPr>
              <w:br w:type="textWrapping"/>
            </w:r>
            <w:r>
              <w:rPr>
                <w:rFonts w:ascii="Times New Roman" w:hAnsi="Times New Roman" w:eastAsia="仿宋" w:cs="Times New Roman"/>
                <w:kern w:val="0"/>
                <w:sz w:val="20"/>
                <w:szCs w:val="20"/>
              </w:rPr>
              <w:t>高温厌氧发酵</w:t>
            </w:r>
          </w:p>
        </w:tc>
        <w:tc>
          <w:tcPr>
            <w:tcW w:w="3026" w:type="dxa"/>
            <w:gridSpan w:val="3"/>
          </w:tcPr>
          <w:p w14:paraId="4C6F73BF">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≥10</w:t>
            </w:r>
            <w:r>
              <w:rPr>
                <w:rFonts w:ascii="Times New Roman" w:hAnsi="Times New Roman" w:eastAsia="仿宋" w:cs="Times New Roman"/>
                <w:kern w:val="0"/>
                <w:sz w:val="20"/>
                <w:szCs w:val="20"/>
                <w:vertAlign w:val="superscript"/>
              </w:rPr>
              <w:t>-4</w:t>
            </w:r>
            <w:r>
              <w:rPr>
                <w:rFonts w:ascii="Times New Roman" w:hAnsi="Times New Roman" w:eastAsia="仿宋" w:cs="Times New Roman"/>
                <w:kern w:val="0"/>
                <w:sz w:val="20"/>
                <w:szCs w:val="20"/>
              </w:rPr>
              <w:br w:type="textWrapping"/>
            </w:r>
            <w:r>
              <w:rPr>
                <w:rFonts w:ascii="Times New Roman" w:hAnsi="Times New Roman" w:eastAsia="仿宋" w:cs="Times New Roman"/>
                <w:kern w:val="0"/>
                <w:sz w:val="20"/>
                <w:szCs w:val="20"/>
              </w:rPr>
              <w:t>≥10</w:t>
            </w:r>
            <w:r>
              <w:rPr>
                <w:rFonts w:ascii="Times New Roman" w:hAnsi="Times New Roman" w:eastAsia="仿宋" w:cs="Times New Roman"/>
                <w:kern w:val="0"/>
                <w:sz w:val="20"/>
                <w:szCs w:val="20"/>
                <w:vertAlign w:val="superscript"/>
              </w:rPr>
              <w:t>-2</w:t>
            </w:r>
          </w:p>
        </w:tc>
        <w:tc>
          <w:tcPr>
            <w:tcW w:w="1873" w:type="dxa"/>
          </w:tcPr>
          <w:p w14:paraId="6AB853C8">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 7959—2012</w:t>
            </w:r>
          </w:p>
        </w:tc>
      </w:tr>
      <w:tr w14:paraId="64DA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22F9C1E1">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总砷（以 As计）/(mg/L)</w:t>
            </w:r>
          </w:p>
        </w:tc>
        <w:tc>
          <w:tcPr>
            <w:tcW w:w="866" w:type="dxa"/>
          </w:tcPr>
          <w:p w14:paraId="628F91A7">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0.3</w:t>
            </w:r>
          </w:p>
        </w:tc>
        <w:tc>
          <w:tcPr>
            <w:tcW w:w="1137" w:type="dxa"/>
          </w:tcPr>
          <w:p w14:paraId="38D3A75C">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0.4</w:t>
            </w:r>
          </w:p>
        </w:tc>
        <w:tc>
          <w:tcPr>
            <w:tcW w:w="1023" w:type="dxa"/>
          </w:tcPr>
          <w:p w14:paraId="2AC83948">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10.0</w:t>
            </w:r>
          </w:p>
        </w:tc>
        <w:tc>
          <w:tcPr>
            <w:tcW w:w="1873" w:type="dxa"/>
          </w:tcPr>
          <w:p w14:paraId="5E4A5639">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23349</w:t>
            </w:r>
          </w:p>
        </w:tc>
      </w:tr>
      <w:tr w14:paraId="04BC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97" w:type="dxa"/>
            <w:gridSpan w:val="2"/>
          </w:tcPr>
          <w:p w14:paraId="32FC6223">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总铬（六价 Cr计）/(mg/L)</w:t>
            </w:r>
          </w:p>
        </w:tc>
        <w:tc>
          <w:tcPr>
            <w:tcW w:w="866" w:type="dxa"/>
          </w:tcPr>
          <w:p w14:paraId="174D9915">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1.3</w:t>
            </w:r>
          </w:p>
        </w:tc>
        <w:tc>
          <w:tcPr>
            <w:tcW w:w="1137" w:type="dxa"/>
          </w:tcPr>
          <w:p w14:paraId="16F66F3B">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1.9</w:t>
            </w:r>
          </w:p>
        </w:tc>
        <w:tc>
          <w:tcPr>
            <w:tcW w:w="1023" w:type="dxa"/>
          </w:tcPr>
          <w:p w14:paraId="0715F18B">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50.0</w:t>
            </w:r>
          </w:p>
        </w:tc>
        <w:tc>
          <w:tcPr>
            <w:tcW w:w="1873" w:type="dxa"/>
          </w:tcPr>
          <w:p w14:paraId="6FE0236E">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23349</w:t>
            </w:r>
          </w:p>
        </w:tc>
      </w:tr>
      <w:tr w14:paraId="6A82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421DAE5A">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总镉（以 Cd计）/(mg/L)</w:t>
            </w:r>
          </w:p>
        </w:tc>
        <w:tc>
          <w:tcPr>
            <w:tcW w:w="866" w:type="dxa"/>
          </w:tcPr>
          <w:p w14:paraId="07B68379">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0.04</w:t>
            </w:r>
          </w:p>
        </w:tc>
        <w:tc>
          <w:tcPr>
            <w:tcW w:w="1137" w:type="dxa"/>
          </w:tcPr>
          <w:p w14:paraId="7FDE6516">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0.06</w:t>
            </w:r>
          </w:p>
        </w:tc>
        <w:tc>
          <w:tcPr>
            <w:tcW w:w="1023" w:type="dxa"/>
          </w:tcPr>
          <w:p w14:paraId="11D8FCAC">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3.0</w:t>
            </w:r>
          </w:p>
        </w:tc>
        <w:tc>
          <w:tcPr>
            <w:tcW w:w="1873" w:type="dxa"/>
          </w:tcPr>
          <w:p w14:paraId="4C6219BE">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23349</w:t>
            </w:r>
          </w:p>
        </w:tc>
      </w:tr>
      <w:tr w14:paraId="26FB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26590C29">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总铅（以 Pb计）/(mg/L)</w:t>
            </w:r>
          </w:p>
        </w:tc>
        <w:tc>
          <w:tcPr>
            <w:tcW w:w="866" w:type="dxa"/>
          </w:tcPr>
          <w:p w14:paraId="41343EEF">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1.2</w:t>
            </w:r>
          </w:p>
        </w:tc>
        <w:tc>
          <w:tcPr>
            <w:tcW w:w="1137" w:type="dxa"/>
          </w:tcPr>
          <w:p w14:paraId="0C5F3FF4">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1.6</w:t>
            </w:r>
          </w:p>
        </w:tc>
        <w:tc>
          <w:tcPr>
            <w:tcW w:w="1023" w:type="dxa"/>
          </w:tcPr>
          <w:p w14:paraId="3D25210C">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50.0</w:t>
            </w:r>
          </w:p>
        </w:tc>
        <w:tc>
          <w:tcPr>
            <w:tcW w:w="1873" w:type="dxa"/>
          </w:tcPr>
          <w:p w14:paraId="5471A60B">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23349</w:t>
            </w:r>
          </w:p>
        </w:tc>
      </w:tr>
      <w:tr w14:paraId="4172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97" w:type="dxa"/>
            <w:gridSpan w:val="2"/>
          </w:tcPr>
          <w:p w14:paraId="290B0EC4">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总汞（以 Hg计）/(mg/L)</w:t>
            </w:r>
          </w:p>
        </w:tc>
        <w:tc>
          <w:tcPr>
            <w:tcW w:w="866" w:type="dxa"/>
          </w:tcPr>
          <w:p w14:paraId="28422B4E">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0.4</w:t>
            </w:r>
          </w:p>
        </w:tc>
        <w:tc>
          <w:tcPr>
            <w:tcW w:w="1137" w:type="dxa"/>
          </w:tcPr>
          <w:p w14:paraId="0D84085C">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0.5</w:t>
            </w:r>
          </w:p>
        </w:tc>
        <w:tc>
          <w:tcPr>
            <w:tcW w:w="1023" w:type="dxa"/>
          </w:tcPr>
          <w:p w14:paraId="1D416DAB">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 5.0</w:t>
            </w:r>
          </w:p>
        </w:tc>
        <w:tc>
          <w:tcPr>
            <w:tcW w:w="1873" w:type="dxa"/>
          </w:tcPr>
          <w:p w14:paraId="7218EE18">
            <w:pPr>
              <w:rPr>
                <w:rFonts w:ascii="Times New Roman" w:hAnsi="Times New Roman" w:eastAsia="仿宋" w:cs="Times New Roman"/>
                <w:kern w:val="0"/>
                <w:sz w:val="20"/>
                <w:szCs w:val="20"/>
              </w:rPr>
            </w:pPr>
            <w:r>
              <w:rPr>
                <w:rFonts w:ascii="Times New Roman" w:hAnsi="Times New Roman" w:eastAsia="仿宋" w:cs="Times New Roman"/>
                <w:kern w:val="0"/>
                <w:sz w:val="20"/>
                <w:szCs w:val="20"/>
              </w:rPr>
              <w:t>GB/T 23349</w:t>
            </w:r>
          </w:p>
        </w:tc>
      </w:tr>
    </w:tbl>
    <w:p w14:paraId="59D343CA">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本标准为农用沼液标准的补充</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沼液各指标质量要求沿用农用沼液的质量要求与检测方法</w:t>
      </w:r>
      <w:r>
        <w:rPr>
          <w:rFonts w:hint="eastAsia" w:ascii="Times New Roman" w:hAnsi="Times New Roman" w:eastAsia="宋体" w:cs="Times New Roman"/>
          <w:color w:val="000000"/>
          <w:kern w:val="0"/>
          <w:sz w:val="24"/>
          <w:szCs w:val="24"/>
        </w:rPr>
        <w:t>。</w:t>
      </w:r>
    </w:p>
    <w:p w14:paraId="18DC7D6B">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农用沼液的质量要求，基本原则是从重严限制砷、铬、镉、铅、汞等5种有害重金属，充分发挥有机质、总氮、总磷等肥效指标，具体参考GB 5084农田灌溉水质标准、NY/T 2596 沼肥等国家和行业标准。其中：</w:t>
      </w:r>
    </w:p>
    <w:p w14:paraId="5DC42DF6">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一类指标参考GB 5084 农田灌溉水质标准要求，主要满足蔬菜等耐受力较弱的草本食品类作物的生产；三类指标参考NY/T 2596 沼肥中沼液肥的主要质量标准，满足耐受力较强的木本类非食品类经济作物的生产。二类指标介于一类和三类指标之间。</w:t>
      </w:r>
    </w:p>
    <w:p w14:paraId="4A242A22">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相较</w:t>
      </w:r>
      <w:bookmarkStart w:id="15" w:name="OLE_LINK3"/>
      <w:bookmarkStart w:id="16" w:name="OLE_LINK2"/>
      <w:r>
        <w:rPr>
          <w:rFonts w:hint="eastAsia" w:ascii="Times New Roman" w:hAnsi="Times New Roman" w:eastAsia="宋体" w:cs="Times New Roman"/>
          <w:color w:val="000000"/>
          <w:kern w:val="0"/>
          <w:sz w:val="24"/>
          <w:szCs w:val="24"/>
        </w:rPr>
        <w:t>GB/T 40750</w:t>
      </w:r>
      <w:bookmarkEnd w:id="15"/>
      <w:bookmarkEnd w:id="16"/>
      <w:r>
        <w:rPr>
          <w:rFonts w:hint="eastAsia" w:ascii="Times New Roman" w:hAnsi="Times New Roman" w:eastAsia="宋体" w:cs="Times New Roman"/>
          <w:color w:val="000000"/>
          <w:kern w:val="0"/>
          <w:sz w:val="24"/>
          <w:szCs w:val="24"/>
        </w:rPr>
        <w:t>中的农用沼液指标，本标准删除了浓缩类沼液的相关指标，主要原因是当前对沼液浓缩加工成的肥料种类多样，养分含量经其他物质添加后与原沼液相比差异较大，养分配比甚至完全不同，价值浓缩类沼液肥料占比较少，不是当前沼液田间施用的主体，因此本标准只涵盖了非浓缩沼液的质量要求。</w:t>
      </w:r>
    </w:p>
    <w:p w14:paraId="6871262D">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综合各类文献，我国猪粪、鸡粪、牛粪等原料发酵的沼液电导率（EC）差异较大，常规厌氧发酵原液一般在2-15 mS/cm区间，不同原料差异明显。其中鸡粪沼液多在8-15 mS/cm，猪粪沼液多在5-10 mS/cm，牛粪沼液3-6 mS/cm，并且不同发酵工艺下浓度亦有不同，如干发酵工艺沼液浓度明显偏高，相当部分沼液原液指标超出了GB/T 40750的限定，但应用中沼液通过兑水进行稀释施用，综合考虑，本标准对于沼液的电导率指标未做限定。</w:t>
      </w:r>
    </w:p>
    <w:p w14:paraId="57D285A8">
      <w:pPr>
        <w:widowControl/>
        <w:spacing w:line="360" w:lineRule="auto"/>
        <w:ind w:firstLine="480" w:firstLineChars="200"/>
        <w:jc w:val="left"/>
        <w:rPr>
          <w:rFonts w:ascii="Times New Roman" w:hAnsi="Times New Roman" w:eastAsia="宋体" w:cs="Times New Roman"/>
          <w:color w:val="000000"/>
          <w:kern w:val="0"/>
          <w:sz w:val="24"/>
          <w:szCs w:val="24"/>
        </w:rPr>
      </w:pPr>
    </w:p>
    <w:p w14:paraId="425E5ACB">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6. 运输</w:t>
      </w:r>
    </w:p>
    <w:p w14:paraId="38CDF2A4">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分</w:t>
      </w:r>
      <w:r>
        <w:rPr>
          <w:rFonts w:ascii="Times New Roman" w:hAnsi="Times New Roman" w:eastAsia="宋体" w:cs="Times New Roman"/>
          <w:bCs/>
          <w:color w:val="000000"/>
          <w:kern w:val="0"/>
          <w:sz w:val="24"/>
          <w:szCs w:val="24"/>
        </w:rPr>
        <w:t>管道输送</w:t>
      </w:r>
      <w:r>
        <w:rPr>
          <w:rFonts w:ascii="Times New Roman" w:hAnsi="Times New Roman" w:eastAsia="宋体" w:cs="Times New Roman"/>
          <w:color w:val="000000"/>
          <w:kern w:val="0"/>
          <w:sz w:val="24"/>
          <w:szCs w:val="24"/>
        </w:rPr>
        <w:t>和</w:t>
      </w:r>
      <w:r>
        <w:rPr>
          <w:rFonts w:ascii="Times New Roman" w:hAnsi="Times New Roman" w:eastAsia="宋体" w:cs="Times New Roman"/>
          <w:bCs/>
          <w:color w:val="000000"/>
          <w:kern w:val="0"/>
          <w:sz w:val="24"/>
          <w:szCs w:val="24"/>
        </w:rPr>
        <w:t>车辆运输</w:t>
      </w:r>
      <w:r>
        <w:rPr>
          <w:rFonts w:ascii="Times New Roman" w:hAnsi="Times New Roman" w:eastAsia="宋体" w:cs="Times New Roman"/>
          <w:color w:val="000000"/>
          <w:kern w:val="0"/>
          <w:sz w:val="24"/>
          <w:szCs w:val="24"/>
        </w:rPr>
        <w:t>两种方式。</w:t>
      </w:r>
    </w:p>
    <w:p w14:paraId="4FE24FB3">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6.1 管道输送。沼液输送设备设施应采用户外中等防腐蚀材料；沼液泵应具有防纤维、毛发等缠绕的功能；管网应具有防管道堵塞和爆裂的功能。</w:t>
      </w:r>
    </w:p>
    <w:p w14:paraId="06EDC066">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6</w:t>
      </w:r>
      <w:r>
        <w:rPr>
          <w:rFonts w:ascii="Times New Roman" w:hAnsi="Times New Roman" w:eastAsia="宋体" w:cs="Times New Roman"/>
          <w:color w:val="000000"/>
          <w:kern w:val="0"/>
          <w:sz w:val="24"/>
          <w:szCs w:val="24"/>
        </w:rPr>
        <w:t>.1</w:t>
      </w:r>
      <w:r>
        <w:rPr>
          <w:rFonts w:hint="eastAsia" w:ascii="Times New Roman" w:hAnsi="Times New Roman" w:eastAsia="宋体" w:cs="Times New Roman"/>
          <w:color w:val="000000"/>
          <w:kern w:val="0"/>
          <w:sz w:val="24"/>
          <w:szCs w:val="24"/>
        </w:rPr>
        <w:t>条针对沼液含盐、含氨、易腐蚀且含纤维杂质的特性制定。要求设备设施采用户外中等防腐材料，适应露天环境；沼液泵具备防缠绕性能，避免纤维、毛发卡阻；管网兼顾防堵塞与防爆裂设计，保障系统安全稳定运行，降低运维风险。</w:t>
      </w:r>
    </w:p>
    <w:p w14:paraId="381862DD">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6.2 车辆运输。沼液储运罐应牢固、严密。车辆应在非密闭空间停放，不应靠近明火、高温。运输过程中不宜高速行驶，装载量不得超过罐体容积的90%，防止液体抛洒遗漏。</w:t>
      </w:r>
    </w:p>
    <w:p w14:paraId="3A282654">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沼液具有一定流动性、易渗漏及周边作业安全要求制定。规定储运罐牢固严密，旨在防止运输途中泄漏污染环境；要求运输车辆在非密闭空间停放、远离明火高温，是为避免沼气残留积聚引发安全隐患；限制车速及装载量不超过罐体容积 90%，可有效防止沼液晃动抛洒遗漏，保障运输过程安全、环保、可控。</w:t>
      </w:r>
    </w:p>
    <w:p w14:paraId="1A959426">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7. 储存</w:t>
      </w:r>
    </w:p>
    <w:p w14:paraId="776143CD">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7.1 沼液储存设施周边需设置</w:t>
      </w:r>
      <w:r>
        <w:rPr>
          <w:rFonts w:hint="eastAsia" w:ascii="Times New Roman" w:hAnsi="Times New Roman" w:eastAsia="宋体" w:cs="Times New Roman"/>
          <w:color w:val="000000"/>
          <w:kern w:val="0"/>
          <w:sz w:val="24"/>
          <w:szCs w:val="24"/>
          <w:lang w:eastAsia="zh-CN"/>
        </w:rPr>
        <w:t>警示标志</w:t>
      </w:r>
      <w:r>
        <w:rPr>
          <w:rFonts w:hint="eastAsia" w:ascii="Times New Roman" w:hAnsi="Times New Roman" w:eastAsia="宋体" w:cs="Times New Roman"/>
          <w:color w:val="000000"/>
          <w:kern w:val="0"/>
          <w:sz w:val="24"/>
          <w:szCs w:val="24"/>
        </w:rPr>
        <w:t>，要有防沼液渗漏、溢流和通风设施，设施应符合HJ497-2009中6.1.2的规定。</w:t>
      </w:r>
    </w:p>
    <w:p w14:paraId="6973130B">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7.2 储存场所应与养殖场生产区、居民区等建筑保持至少500m的卫生防护距离，可以设置在养殖场的生产区、生活区主导风向的下风向或侧风向处或施用区域的农田。</w:t>
      </w:r>
    </w:p>
    <w:p w14:paraId="1FFB63F0">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本条规定主要参考了</w:t>
      </w:r>
      <w:r>
        <w:rPr>
          <w:rFonts w:hint="eastAsia" w:ascii="Times New Roman" w:hAnsi="Times New Roman" w:eastAsia="宋体" w:cs="Times New Roman"/>
          <w:color w:val="000000"/>
          <w:kern w:val="0"/>
          <w:sz w:val="24"/>
          <w:szCs w:val="24"/>
        </w:rPr>
        <w:t>《畜禽养殖业污染防治技术规范》（HJ/T 81-2001）的相关规定，“新建、改建、扩建的畜禽养殖场选址应避开禁建区域，在禁建区域附近建设的，应设在禁建区域常年主导风向的下风向或侧风向处，场界与禁建区域边界的最小距离不得小于</w:t>
      </w:r>
      <w:r>
        <w:rPr>
          <w:rFonts w:ascii="Times New Roman" w:hAnsi="Times New Roman" w:eastAsia="宋体" w:cs="Times New Roman"/>
          <w:color w:val="000000"/>
          <w:kern w:val="0"/>
          <w:sz w:val="24"/>
          <w:szCs w:val="24"/>
        </w:rPr>
        <w:t>500 m</w:t>
      </w:r>
      <w:r>
        <w:rPr>
          <w:rFonts w:hint="eastAsia" w:ascii="Times New Roman" w:hAnsi="Times New Roman" w:eastAsia="宋体" w:cs="Times New Roman"/>
          <w:color w:val="000000"/>
          <w:kern w:val="0"/>
          <w:sz w:val="24"/>
          <w:szCs w:val="24"/>
        </w:rPr>
        <w:t>。</w:t>
      </w:r>
    </w:p>
    <w:p w14:paraId="7EAE8BB2">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7.3 沼液田间储存池应修建在待施用农田的高地势处，并设置加盖保护，防止雨季积水。</w:t>
      </w:r>
    </w:p>
    <w:p w14:paraId="093231CA">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8. 施用量</w:t>
      </w:r>
    </w:p>
    <w:p w14:paraId="65ACCB40">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沼液施用中考虑实际操作场景，分为一般农田施肥和土壤培肥需求，分别对应沼液化肥替代下施肥</w:t>
      </w:r>
      <w:r>
        <w:rPr>
          <w:rFonts w:hint="eastAsia" w:ascii="Times New Roman" w:hAnsi="Times New Roman" w:eastAsia="宋体" w:cs="Times New Roman"/>
          <w:color w:val="000000"/>
          <w:kern w:val="0"/>
          <w:sz w:val="24"/>
          <w:szCs w:val="24"/>
          <w:lang w:eastAsia="zh-CN"/>
        </w:rPr>
        <w:t>需求</w:t>
      </w:r>
      <w:r>
        <w:rPr>
          <w:rFonts w:ascii="Times New Roman" w:hAnsi="Times New Roman" w:eastAsia="宋体" w:cs="Times New Roman"/>
          <w:color w:val="000000"/>
          <w:kern w:val="0"/>
          <w:sz w:val="24"/>
          <w:szCs w:val="24"/>
        </w:rPr>
        <w:t>的用量，以及在低肥力土壤为提升土壤质量的土壤培肥需求。</w:t>
      </w:r>
    </w:p>
    <w:p w14:paraId="30FE5149">
      <w:pPr>
        <w:pStyle w:val="26"/>
        <w:adjustRightInd w:val="0"/>
        <w:snapToGrid w:val="0"/>
        <w:spacing w:line="360" w:lineRule="auto"/>
        <w:ind w:firstLine="0"/>
        <w:rPr>
          <w:rFonts w:ascii="Times New Roman"/>
          <w:sz w:val="24"/>
        </w:rPr>
      </w:pPr>
      <w:r>
        <w:rPr>
          <w:rFonts w:hint="eastAsia" w:ascii="Times New Roman"/>
          <w:sz w:val="24"/>
        </w:rPr>
        <w:t>8</w:t>
      </w:r>
      <w:r>
        <w:rPr>
          <w:rFonts w:ascii="Times New Roman"/>
          <w:sz w:val="24"/>
        </w:rPr>
        <w:t xml:space="preserve">.1 </w:t>
      </w:r>
      <w:r>
        <w:rPr>
          <w:rFonts w:hint="eastAsia" w:ascii="Times New Roman"/>
          <w:sz w:val="24"/>
        </w:rPr>
        <w:t>农田施肥</w:t>
      </w:r>
    </w:p>
    <w:p w14:paraId="27811ABD">
      <w:pPr>
        <w:pStyle w:val="26"/>
        <w:adjustRightInd w:val="0"/>
        <w:snapToGrid w:val="0"/>
        <w:spacing w:line="360" w:lineRule="auto"/>
        <w:ind w:firstLine="480" w:firstLineChars="200"/>
        <w:rPr>
          <w:rFonts w:ascii="Times New Roman"/>
          <w:sz w:val="24"/>
        </w:rPr>
      </w:pPr>
      <w:r>
        <w:rPr>
          <w:rFonts w:ascii="Times New Roman"/>
          <w:sz w:val="24"/>
        </w:rPr>
        <w:t>沼液农田用量以</w:t>
      </w:r>
      <w:r>
        <w:rPr>
          <w:rFonts w:ascii="Times New Roman"/>
          <w:i/>
          <w:sz w:val="24"/>
        </w:rPr>
        <w:t>N</w:t>
      </w:r>
      <w:r>
        <w:rPr>
          <w:rFonts w:ascii="Times New Roman"/>
          <w:sz w:val="24"/>
        </w:rPr>
        <w:t>表示，单位为千克每公顷（kg/hm</w:t>
      </w:r>
      <w:r>
        <w:rPr>
          <w:rFonts w:ascii="Times New Roman"/>
          <w:sz w:val="24"/>
          <w:vertAlign w:val="superscript"/>
        </w:rPr>
        <w:t>2</w:t>
      </w:r>
      <w:r>
        <w:rPr>
          <w:rFonts w:ascii="Times New Roman"/>
          <w:sz w:val="24"/>
        </w:rPr>
        <w:t>），按公式（</w:t>
      </w:r>
      <w:r>
        <w:rPr>
          <w:rFonts w:hint="eastAsia" w:ascii="Times New Roman"/>
          <w:sz w:val="24"/>
        </w:rPr>
        <w:t>1</w:t>
      </w:r>
      <w:r>
        <w:rPr>
          <w:rFonts w:ascii="Times New Roman"/>
          <w:sz w:val="24"/>
        </w:rPr>
        <w:t>）计算。</w:t>
      </w:r>
    </w:p>
    <w:p w14:paraId="1EEB8780">
      <w:pPr>
        <w:pStyle w:val="26"/>
        <w:adjustRightInd w:val="0"/>
        <w:snapToGrid w:val="0"/>
        <w:spacing w:line="360" w:lineRule="auto"/>
        <w:jc w:val="right"/>
        <w:rPr>
          <w:rFonts w:ascii="Times New Roman"/>
          <w:i/>
        </w:rPr>
      </w:pPr>
      <m:oMath>
        <m:r>
          <m:rPr/>
          <w:rPr>
            <w:rFonts w:ascii="Cambria Math" w:hAnsi="Cambria Math"/>
          </w:rPr>
          <m:t>N=</m:t>
        </m:r>
        <m:f>
          <m:fPr>
            <m:ctrlPr>
              <w:rPr>
                <w:rFonts w:ascii="Cambria Math" w:hAnsi="Cambria Math"/>
                <w:i/>
              </w:rPr>
            </m:ctrlPr>
          </m:fPr>
          <m:num>
            <m:r>
              <m:rPr/>
              <w:rPr>
                <w:rFonts w:ascii="Cambria Math" w:hAnsi="Cambria Math"/>
              </w:rPr>
              <m:t>A</m:t>
            </m:r>
            <m:r>
              <m:rPr/>
              <w:rPr>
                <w:rFonts w:hint="eastAsia" w:ascii="Cambria Math" w:hAnsi="Cambria Math"/>
              </w:rPr>
              <m:t>×p</m:t>
            </m:r>
            <m:ctrlPr>
              <w:rPr>
                <w:rFonts w:ascii="Cambria Math" w:hAnsi="Cambria Math"/>
                <w:i/>
              </w:rPr>
            </m:ctrlPr>
          </m:num>
          <m:den>
            <m:r>
              <m:rPr/>
              <w:rPr>
                <w:rFonts w:ascii="Cambria Math" w:hAnsi="Cambria Math"/>
              </w:rPr>
              <m:t>d×r</m:t>
            </m:r>
            <m:ctrlPr>
              <w:rPr>
                <w:rFonts w:ascii="Cambria Math" w:hAnsi="Cambria Math"/>
                <w:i/>
              </w:rPr>
            </m:ctrlPr>
          </m:den>
        </m:f>
        <m:r>
          <m:rPr/>
          <w:rPr>
            <w:rFonts w:ascii="Cambria Math" w:hAnsi="Cambria Math"/>
          </w:rPr>
          <m:t>×f</m:t>
        </m:r>
      </m:oMath>
      <w:r>
        <w:rPr>
          <w:rFonts w:ascii="Times New Roman"/>
        </w:rPr>
        <w:t>…………………………………………………（</w:t>
      </w:r>
      <w:r>
        <w:rPr>
          <w:rFonts w:hint="eastAsia" w:ascii="Times New Roman"/>
        </w:rPr>
        <w:t>1</w:t>
      </w:r>
      <w:r>
        <w:rPr>
          <w:rFonts w:ascii="Times New Roman"/>
        </w:rPr>
        <w:t>）</w:t>
      </w:r>
    </w:p>
    <w:p w14:paraId="4CB9EDE0">
      <w:pPr>
        <w:pStyle w:val="26"/>
        <w:adjustRightInd w:val="0"/>
        <w:snapToGrid w:val="0"/>
        <w:spacing w:line="360" w:lineRule="auto"/>
        <w:ind w:firstLine="480" w:firstLineChars="200"/>
        <w:rPr>
          <w:rFonts w:ascii="Times New Roman"/>
          <w:sz w:val="24"/>
          <w:szCs w:val="21"/>
        </w:rPr>
      </w:pPr>
      <w:r>
        <w:rPr>
          <w:rFonts w:ascii="Times New Roman"/>
          <w:sz w:val="24"/>
          <w:szCs w:val="21"/>
        </w:rPr>
        <w:t>式中：</w:t>
      </w:r>
    </w:p>
    <w:p w14:paraId="13E782F1">
      <w:pPr>
        <w:adjustRightInd w:val="0"/>
        <w:snapToGrid w:val="0"/>
        <w:spacing w:line="360" w:lineRule="auto"/>
        <w:ind w:firstLine="480" w:firstLineChars="200"/>
        <w:rPr>
          <w:rFonts w:ascii="Times New Roman" w:hAnsi="Times New Roman" w:cs="Times New Roman"/>
          <w:color w:val="000000"/>
          <w:sz w:val="24"/>
          <w:szCs w:val="21"/>
        </w:rPr>
      </w:pPr>
      <w:r>
        <w:rPr>
          <w:rFonts w:ascii="Times New Roman" w:hAnsi="Times New Roman" w:cs="Times New Roman"/>
          <w:i/>
          <w:iCs/>
          <w:color w:val="000000"/>
          <w:sz w:val="24"/>
          <w:szCs w:val="21"/>
        </w:rPr>
        <w:t>N</w:t>
      </w:r>
      <w:r>
        <w:rPr>
          <w:rFonts w:ascii="Times New Roman" w:hAnsi="Times New Roman" w:cs="Times New Roman"/>
          <w:color w:val="000000"/>
          <w:sz w:val="24"/>
          <w:szCs w:val="21"/>
        </w:rPr>
        <w:t>——基于以氮计算的单位面积农作物目标产量的沼液用量，单位为千克每公顷（kg/hm</w:t>
      </w:r>
      <w:r>
        <w:rPr>
          <w:rFonts w:ascii="Times New Roman" w:hAnsi="Times New Roman" w:cs="Times New Roman"/>
          <w:color w:val="000000"/>
          <w:sz w:val="24"/>
          <w:szCs w:val="21"/>
          <w:vertAlign w:val="superscript"/>
        </w:rPr>
        <w:t>2</w:t>
      </w:r>
      <w:r>
        <w:rPr>
          <w:rFonts w:ascii="Times New Roman" w:hAnsi="Times New Roman" w:cs="Times New Roman"/>
          <w:color w:val="000000"/>
          <w:sz w:val="24"/>
          <w:szCs w:val="21"/>
        </w:rPr>
        <w:t>）；</w:t>
      </w:r>
    </w:p>
    <w:p w14:paraId="339725DA">
      <w:pPr>
        <w:adjustRightInd w:val="0"/>
        <w:snapToGrid w:val="0"/>
        <w:spacing w:line="360" w:lineRule="auto"/>
        <w:ind w:firstLine="480" w:firstLineChars="200"/>
        <w:rPr>
          <w:rFonts w:ascii="Times New Roman" w:hAnsi="Times New Roman" w:cs="Times New Roman"/>
          <w:color w:val="000000"/>
          <w:sz w:val="24"/>
          <w:szCs w:val="21"/>
        </w:rPr>
      </w:pPr>
      <w:r>
        <w:rPr>
          <w:rFonts w:ascii="Times New Roman" w:hAnsi="Times New Roman" w:cs="Times New Roman"/>
          <w:i/>
          <w:iCs/>
          <w:color w:val="000000"/>
          <w:sz w:val="24"/>
          <w:szCs w:val="21"/>
        </w:rPr>
        <w:t>A</w:t>
      </w:r>
      <w:r>
        <w:rPr>
          <w:rFonts w:ascii="Times New Roman" w:hAnsi="Times New Roman" w:cs="Times New Roman"/>
          <w:color w:val="000000"/>
          <w:sz w:val="24"/>
          <w:szCs w:val="21"/>
        </w:rPr>
        <w:t>——单位面积农作物目标产量需氮量，单位为千克每公顷（kg/hm</w:t>
      </w:r>
      <w:r>
        <w:rPr>
          <w:rFonts w:ascii="Times New Roman" w:hAnsi="Times New Roman" w:cs="Times New Roman"/>
          <w:color w:val="000000"/>
          <w:sz w:val="24"/>
          <w:szCs w:val="21"/>
          <w:vertAlign w:val="superscript"/>
        </w:rPr>
        <w:t>2</w:t>
      </w:r>
      <w:r>
        <w:rPr>
          <w:rFonts w:ascii="Times New Roman" w:hAnsi="Times New Roman" w:cs="Times New Roman"/>
          <w:color w:val="000000"/>
          <w:sz w:val="24"/>
          <w:szCs w:val="21"/>
        </w:rPr>
        <w:t>）。主要农作物形成100 kg产量需氮量参考值见表A.1；</w:t>
      </w:r>
    </w:p>
    <w:p w14:paraId="4893EEEA">
      <w:pPr>
        <w:adjustRightInd w:val="0"/>
        <w:snapToGrid w:val="0"/>
        <w:spacing w:line="360" w:lineRule="auto"/>
        <w:ind w:firstLine="480" w:firstLineChars="200"/>
        <w:rPr>
          <w:rFonts w:ascii="Times New Roman" w:hAnsi="Times New Roman" w:cs="Times New Roman"/>
          <w:color w:val="000000"/>
          <w:sz w:val="24"/>
          <w:szCs w:val="21"/>
        </w:rPr>
      </w:pPr>
      <w:r>
        <w:rPr>
          <w:rFonts w:ascii="Times New Roman" w:hAnsi="Times New Roman" w:cs="Times New Roman"/>
          <w:i/>
          <w:iCs/>
          <w:color w:val="000000"/>
          <w:sz w:val="24"/>
          <w:szCs w:val="21"/>
        </w:rPr>
        <w:t>p</w:t>
      </w:r>
      <w:r>
        <w:rPr>
          <w:rFonts w:ascii="Times New Roman" w:hAnsi="Times New Roman" w:cs="Times New Roman"/>
          <w:color w:val="000000"/>
          <w:sz w:val="24"/>
          <w:szCs w:val="21"/>
        </w:rPr>
        <w:t>——肥料供给氮量占农作物需氮量的比例，单位为百分号（%）。</w:t>
      </w:r>
      <w:r>
        <w:rPr>
          <w:rFonts w:ascii="Times New Roman" w:hAnsi="Times New Roman" w:cs="Times New Roman"/>
          <w:i/>
          <w:iCs/>
          <w:color w:val="000000"/>
          <w:sz w:val="24"/>
          <w:szCs w:val="21"/>
        </w:rPr>
        <w:t>p</w:t>
      </w:r>
      <w:r>
        <w:rPr>
          <w:rFonts w:ascii="Times New Roman" w:hAnsi="Times New Roman" w:cs="Times New Roman"/>
          <w:color w:val="000000"/>
          <w:sz w:val="24"/>
          <w:szCs w:val="21"/>
        </w:rPr>
        <w:t>值根据</w:t>
      </w:r>
      <w:r>
        <w:rPr>
          <w:rFonts w:ascii="Times New Roman" w:hAnsi="Times New Roman" w:cs="Times New Roman"/>
          <w:kern w:val="0"/>
          <w:sz w:val="24"/>
          <w:szCs w:val="21"/>
        </w:rPr>
        <w:t>不同土壤氮肥力等级确定，参</w:t>
      </w:r>
      <w:r>
        <w:rPr>
          <w:rFonts w:ascii="Times New Roman" w:hAnsi="Times New Roman" w:cs="Times New Roman"/>
          <w:color w:val="000000"/>
          <w:sz w:val="24"/>
          <w:szCs w:val="21"/>
        </w:rPr>
        <w:t xml:space="preserve">见表A.2； </w:t>
      </w:r>
    </w:p>
    <w:p w14:paraId="6E41753A">
      <w:pPr>
        <w:adjustRightInd w:val="0"/>
        <w:snapToGrid w:val="0"/>
        <w:spacing w:line="360" w:lineRule="auto"/>
        <w:ind w:firstLine="480" w:firstLineChars="200"/>
        <w:rPr>
          <w:rFonts w:ascii="Times New Roman" w:hAnsi="Times New Roman" w:cs="Times New Roman"/>
          <w:color w:val="000000"/>
          <w:sz w:val="24"/>
          <w:szCs w:val="21"/>
        </w:rPr>
      </w:pPr>
      <w:r>
        <w:rPr>
          <w:rFonts w:ascii="Times New Roman" w:hAnsi="Times New Roman" w:cs="Times New Roman"/>
          <w:i/>
          <w:iCs/>
          <w:color w:val="000000"/>
          <w:sz w:val="24"/>
          <w:szCs w:val="21"/>
        </w:rPr>
        <w:t>d</w:t>
      </w:r>
      <w:r>
        <w:rPr>
          <w:rFonts w:ascii="Times New Roman" w:hAnsi="Times New Roman" w:cs="Times New Roman"/>
          <w:color w:val="000000"/>
          <w:sz w:val="24"/>
          <w:szCs w:val="21"/>
        </w:rPr>
        <w:t>——沼液中氮含量，单位为百分号（%），不同类型沼液中氮含量参见表A.3；</w:t>
      </w:r>
    </w:p>
    <w:p w14:paraId="603B1353">
      <w:pPr>
        <w:adjustRightInd w:val="0"/>
        <w:snapToGrid w:val="0"/>
        <w:spacing w:line="360" w:lineRule="auto"/>
        <w:ind w:firstLine="480" w:firstLineChars="200"/>
        <w:rPr>
          <w:rFonts w:ascii="Times New Roman" w:hAnsi="Times New Roman" w:cs="Times New Roman"/>
          <w:color w:val="000000"/>
          <w:sz w:val="24"/>
          <w:szCs w:val="21"/>
        </w:rPr>
      </w:pPr>
      <w:r>
        <w:rPr>
          <w:rFonts w:ascii="Times New Roman" w:hAnsi="Times New Roman" w:cs="Times New Roman"/>
          <w:i/>
          <w:iCs/>
          <w:color w:val="000000"/>
          <w:sz w:val="24"/>
          <w:szCs w:val="21"/>
        </w:rPr>
        <w:t>r</w:t>
      </w:r>
      <w:r>
        <w:rPr>
          <w:rFonts w:ascii="Times New Roman" w:hAnsi="Times New Roman" w:cs="Times New Roman"/>
          <w:color w:val="000000"/>
          <w:sz w:val="24"/>
          <w:szCs w:val="21"/>
        </w:rPr>
        <w:t>——沼液氮的当季利用效率，单位为百分号（%），该值根据当地实际情况确定，推荐值为</w:t>
      </w:r>
      <w:r>
        <w:rPr>
          <w:rFonts w:hint="eastAsia" w:ascii="Times New Roman" w:hAnsi="Times New Roman" w:cs="Times New Roman"/>
          <w:color w:val="000000"/>
          <w:sz w:val="24"/>
          <w:szCs w:val="21"/>
        </w:rPr>
        <w:t>35%～50%</w:t>
      </w:r>
      <w:r>
        <w:rPr>
          <w:rFonts w:ascii="Times New Roman" w:hAnsi="Times New Roman" w:cs="Times New Roman"/>
          <w:color w:val="000000"/>
          <w:sz w:val="24"/>
          <w:szCs w:val="21"/>
        </w:rPr>
        <w:t>；</w:t>
      </w:r>
    </w:p>
    <w:p w14:paraId="55614EA9">
      <w:pPr>
        <w:adjustRightInd w:val="0"/>
        <w:snapToGrid w:val="0"/>
        <w:spacing w:line="360" w:lineRule="auto"/>
        <w:ind w:firstLine="480" w:firstLineChars="200"/>
        <w:rPr>
          <w:rFonts w:ascii="Times New Roman" w:hAnsi="Times New Roman" w:cs="Times New Roman"/>
          <w:color w:val="000000"/>
          <w:sz w:val="24"/>
          <w:szCs w:val="21"/>
        </w:rPr>
      </w:pPr>
      <w:r>
        <w:rPr>
          <w:rFonts w:ascii="Times New Roman" w:hAnsi="Times New Roman" w:cs="Times New Roman"/>
          <w:i/>
          <w:iCs/>
          <w:color w:val="000000"/>
          <w:sz w:val="24"/>
          <w:szCs w:val="21"/>
        </w:rPr>
        <w:t>f</w:t>
      </w:r>
      <w:r>
        <w:rPr>
          <w:rFonts w:ascii="Times New Roman" w:hAnsi="Times New Roman" w:cs="Times New Roman"/>
          <w:color w:val="000000"/>
          <w:sz w:val="24"/>
          <w:szCs w:val="21"/>
        </w:rPr>
        <w:t>——沼液施氮量占施氮总量的比例，单位为百分号（%），数值可根据当地的施肥习惯或科研、推广机构推荐的数据确定。</w:t>
      </w:r>
    </w:p>
    <w:p w14:paraId="11139EBC">
      <w:pPr>
        <w:spacing w:line="360" w:lineRule="auto"/>
        <w:ind w:firstLine="480" w:firstLineChars="200"/>
        <w:rPr>
          <w:rFonts w:ascii="Times New Roman" w:hAnsi="Times New Roman" w:cs="Times New Roman"/>
          <w:snapToGrid w:val="0"/>
          <w:kern w:val="0"/>
          <w:sz w:val="28"/>
          <w:szCs w:val="28"/>
        </w:rPr>
      </w:pPr>
      <w:r>
        <w:rPr>
          <w:rFonts w:ascii="Times New Roman" w:hAnsi="Times New Roman" w:cs="Times New Roman"/>
          <w:snapToGrid w:val="0"/>
          <w:kern w:val="0"/>
          <w:sz w:val="24"/>
          <w:szCs w:val="24"/>
        </w:rPr>
        <w:t>本</w:t>
      </w:r>
      <w:r>
        <w:rPr>
          <w:rFonts w:hint="eastAsia" w:ascii="Times New Roman" w:hAnsi="Times New Roman" w:cs="Times New Roman"/>
          <w:snapToGrid w:val="0"/>
          <w:kern w:val="0"/>
          <w:sz w:val="24"/>
          <w:szCs w:val="24"/>
        </w:rPr>
        <w:t>条</w:t>
      </w:r>
      <w:r>
        <w:rPr>
          <w:rFonts w:ascii="Times New Roman" w:hAnsi="Times New Roman" w:cs="Times New Roman"/>
          <w:snapToGrid w:val="0"/>
          <w:kern w:val="0"/>
          <w:sz w:val="24"/>
          <w:szCs w:val="24"/>
        </w:rPr>
        <w:t>中沼液氮的当季利用效率值根据当地实际情况确定，推荐值为</w:t>
      </w:r>
      <w:r>
        <w:rPr>
          <w:rFonts w:hint="eastAsia" w:ascii="Times New Roman" w:hAnsi="Times New Roman" w:cs="Times New Roman"/>
          <w:snapToGrid w:val="0"/>
          <w:kern w:val="0"/>
          <w:sz w:val="24"/>
          <w:szCs w:val="24"/>
        </w:rPr>
        <w:t>35%～50%</w:t>
      </w:r>
      <w:r>
        <w:rPr>
          <w:rFonts w:ascii="Times New Roman" w:hAnsi="Times New Roman" w:cs="Times New Roman"/>
          <w:snapToGrid w:val="0"/>
          <w:kern w:val="0"/>
          <w:sz w:val="24"/>
          <w:szCs w:val="24"/>
        </w:rPr>
        <w:t>。沼液中氮的主要成分为铵态氮和硝态氮，均为速效氮，和化肥氮成分一致，因此可以认为沼液氮和化肥氮当季利用率等同。于飞和施卫明（2015）在《10年中国大陆主要粮食作物氮肥利用率分析》研究中表明近10年我国大陆主要粮食作物氮肥利用率 约为35%，孙国峰等（2021）在《长期粪肥还田条件下稻米品质及氮肥利用率》研究中发现，沼液施用在水稻生产中年均氮肥利用率为</w:t>
      </w:r>
      <w:r>
        <w:rPr>
          <w:rFonts w:hint="eastAsia" w:ascii="Times New Roman" w:hAnsi="Times New Roman" w:cs="Times New Roman"/>
          <w:snapToGrid w:val="0"/>
          <w:kern w:val="0"/>
          <w:sz w:val="24"/>
          <w:szCs w:val="24"/>
        </w:rPr>
        <w:t>41.9%～44.0%</w:t>
      </w:r>
      <w:r>
        <w:rPr>
          <w:rFonts w:ascii="Times New Roman" w:hAnsi="Times New Roman" w:cs="Times New Roman"/>
          <w:snapToGrid w:val="0"/>
          <w:kern w:val="0"/>
          <w:sz w:val="24"/>
          <w:szCs w:val="24"/>
        </w:rPr>
        <w:t>，考虑到作物类型、土壤条件</w:t>
      </w:r>
      <w:r>
        <w:rPr>
          <w:rFonts w:hint="eastAsia" w:ascii="Times New Roman" w:hAnsi="Times New Roman" w:cs="Times New Roman"/>
          <w:snapToGrid w:val="0"/>
          <w:kern w:val="0"/>
          <w:sz w:val="24"/>
          <w:szCs w:val="24"/>
        </w:rPr>
        <w:t>、</w:t>
      </w:r>
      <w:r>
        <w:rPr>
          <w:rFonts w:ascii="Times New Roman" w:hAnsi="Times New Roman" w:cs="Times New Roman"/>
          <w:snapToGrid w:val="0"/>
          <w:kern w:val="0"/>
          <w:sz w:val="24"/>
          <w:szCs w:val="24"/>
        </w:rPr>
        <w:t>气候类型以及施用方式，特别是滴灌方式可能提升养分利用效率等差异，因此本标准沼液氮的当季利用效率值推荐为</w:t>
      </w:r>
      <w:r>
        <w:rPr>
          <w:rFonts w:hint="eastAsia" w:ascii="Times New Roman" w:hAnsi="Times New Roman" w:cs="Times New Roman"/>
          <w:snapToGrid w:val="0"/>
          <w:kern w:val="0"/>
          <w:sz w:val="24"/>
          <w:szCs w:val="24"/>
        </w:rPr>
        <w:t>35%～50%</w:t>
      </w:r>
      <w:r>
        <w:rPr>
          <w:rFonts w:ascii="Times New Roman" w:hAnsi="Times New Roman" w:cs="Times New Roman"/>
          <w:snapToGrid w:val="0"/>
          <w:kern w:val="0"/>
          <w:sz w:val="24"/>
          <w:szCs w:val="24"/>
        </w:rPr>
        <w:t>。</w:t>
      </w:r>
    </w:p>
    <w:p w14:paraId="38BD5702">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8.2 土壤培肥</w:t>
      </w:r>
    </w:p>
    <w:p w14:paraId="52BFB0DB">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低肥力土壤和土壤退化地块提升土壤质量可以在基肥中适当增加沼液用量，生育期沼液总用量不超出同地区高标准农田用量的2倍，并配施秸秆和其他有机肥。</w:t>
      </w:r>
    </w:p>
    <w:p w14:paraId="74F92439">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土壤培肥中沼液用量确定依据为：</w:t>
      </w:r>
    </w:p>
    <w:p w14:paraId="1EF0A631">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低肥力土壤</w:t>
      </w:r>
      <w:r>
        <w:rPr>
          <w:rFonts w:ascii="Times New Roman" w:hAnsi="Times New Roman" w:eastAsia="宋体" w:cs="Times New Roman"/>
          <w:color w:val="000000"/>
          <w:kern w:val="0"/>
          <w:sz w:val="24"/>
          <w:szCs w:val="24"/>
        </w:rPr>
        <w:t>和土壤退化地块为实现</w:t>
      </w:r>
      <w:r>
        <w:rPr>
          <w:rFonts w:hint="eastAsia" w:ascii="Times New Roman" w:hAnsi="Times New Roman" w:eastAsia="宋体" w:cs="Times New Roman"/>
          <w:color w:val="000000"/>
          <w:kern w:val="0"/>
          <w:sz w:val="24"/>
          <w:szCs w:val="24"/>
        </w:rPr>
        <w:t>土壤肥力</w:t>
      </w:r>
      <w:r>
        <w:rPr>
          <w:rFonts w:ascii="Times New Roman" w:hAnsi="Times New Roman" w:eastAsia="宋体" w:cs="Times New Roman"/>
          <w:color w:val="000000"/>
          <w:kern w:val="0"/>
          <w:sz w:val="24"/>
          <w:szCs w:val="24"/>
        </w:rPr>
        <w:t>的快速培育，一般施用量较高，本标准规定生育期沼液总用量不超过同地区高标准农田的 2 倍，</w:t>
      </w:r>
      <w:r>
        <w:rPr>
          <w:rFonts w:hint="eastAsia" w:ascii="Times New Roman" w:hAnsi="Times New Roman" w:eastAsia="宋体" w:cs="Times New Roman"/>
          <w:color w:val="000000"/>
          <w:kern w:val="0"/>
          <w:sz w:val="24"/>
          <w:szCs w:val="24"/>
        </w:rPr>
        <w:t>推荐与</w:t>
      </w:r>
      <w:r>
        <w:rPr>
          <w:rFonts w:ascii="Times New Roman" w:hAnsi="Times New Roman" w:eastAsia="宋体" w:cs="Times New Roman"/>
          <w:color w:val="000000"/>
          <w:kern w:val="0"/>
          <w:sz w:val="24"/>
          <w:szCs w:val="24"/>
        </w:rPr>
        <w:t>秸秆和其他高碳物质含量高的有机肥联合施用，兼顾土壤改良和资源合理利用</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并合理</w:t>
      </w:r>
      <w:r>
        <w:rPr>
          <w:rFonts w:hint="eastAsia" w:ascii="Times New Roman" w:hAnsi="Times New Roman" w:eastAsia="宋体" w:cs="Times New Roman"/>
          <w:color w:val="000000"/>
          <w:kern w:val="0"/>
          <w:sz w:val="24"/>
          <w:szCs w:val="24"/>
        </w:rPr>
        <w:t>发挥</w:t>
      </w:r>
      <w:r>
        <w:rPr>
          <w:rFonts w:ascii="Times New Roman" w:hAnsi="Times New Roman" w:eastAsia="宋体" w:cs="Times New Roman"/>
          <w:color w:val="000000"/>
          <w:kern w:val="0"/>
          <w:sz w:val="24"/>
          <w:szCs w:val="24"/>
        </w:rPr>
        <w:t>沼液养分作用和培肥作用。</w:t>
      </w:r>
    </w:p>
    <w:p w14:paraId="1124571B">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9. 施用方法</w:t>
      </w:r>
    </w:p>
    <w:p w14:paraId="3A2E6E37">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按</w:t>
      </w:r>
      <w:r>
        <w:rPr>
          <w:rFonts w:ascii="Times New Roman" w:hAnsi="Times New Roman" w:eastAsia="宋体" w:cs="Times New Roman"/>
          <w:bCs/>
          <w:color w:val="000000"/>
          <w:kern w:val="0"/>
          <w:sz w:val="24"/>
          <w:szCs w:val="24"/>
        </w:rPr>
        <w:t>基肥</w:t>
      </w:r>
      <w:r>
        <w:rPr>
          <w:rFonts w:ascii="Times New Roman" w:hAnsi="Times New Roman" w:eastAsia="宋体" w:cs="Times New Roman"/>
          <w:color w:val="000000"/>
          <w:kern w:val="0"/>
          <w:sz w:val="24"/>
          <w:szCs w:val="24"/>
        </w:rPr>
        <w:t>和</w:t>
      </w:r>
      <w:r>
        <w:rPr>
          <w:rFonts w:ascii="Times New Roman" w:hAnsi="Times New Roman" w:eastAsia="宋体" w:cs="Times New Roman"/>
          <w:bCs/>
          <w:color w:val="000000"/>
          <w:kern w:val="0"/>
          <w:sz w:val="24"/>
          <w:szCs w:val="24"/>
        </w:rPr>
        <w:t>追肥</w:t>
      </w:r>
      <w:r>
        <w:rPr>
          <w:rFonts w:ascii="Times New Roman" w:hAnsi="Times New Roman" w:eastAsia="宋体" w:cs="Times New Roman"/>
          <w:color w:val="000000"/>
          <w:kern w:val="0"/>
          <w:sz w:val="24"/>
          <w:szCs w:val="24"/>
        </w:rPr>
        <w:t>分类，分别规定基施和追施两种情景下表施、深施、淌灌、沟施、穴施、滴灌等不同施用方式的操作要求和适用作物；明确沼液追肥的兑水稀释比例（鸡粪 / 猪粪 / 牛粪 / 秸秆沼液差异化稀释）和稀释后 EC 值要求，以及沼液与其他粪肥混合施用的参照标准（GB/T 25246），实现施用方式的精细化、差异化指导。</w:t>
      </w:r>
    </w:p>
    <w:p w14:paraId="224711CB">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9.1 基施</w:t>
      </w:r>
    </w:p>
    <w:p w14:paraId="1B825C1C">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a) 表施：在耕种前，利用罐车等专用设备将沼液直接均匀施用于农田表面，适用于粮油、蔬菜、果茶、棉麻等，施用后24h内及时翻耕覆土。</w:t>
      </w:r>
    </w:p>
    <w:p w14:paraId="73145CF6">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b) 深施：使用专用设备将沼液施用于农田土壤表面以下，施用后用土壤覆盖，适用于粮油、蔬菜、果茶。</w:t>
      </w:r>
    </w:p>
    <w:p w14:paraId="6F3F2B72">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c) 淌灌：在种植前，将沼液随水施入，适用于粮油、蔬菜、果茶、棉麻等。</w:t>
      </w:r>
    </w:p>
    <w:p w14:paraId="66366F3E">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本条结合沼液养分特性与农田施用实际，规范表施、深施、淌灌三种施用方式。表施依托罐车均匀撒施，适用作物广，要求 24 小时内翻耕覆土，可减少氨挥发与养分流失，避免臭气扩散。深施采用专用机具入土覆盖，能提升养分利用率，减轻对作物根系和周边环境影响，适用于主要粮油、果蔬及茶类作物。淌灌结合灌溉用水同步施用，操作便捷、水肥均匀，适配多种大田与经济作物。三种方式分别对应不同耕作场景，兼顾适用性与操作性，既保证沼液资源化高效利用，又有效防控挥发、流失等环境风险，保障农业生产与生态安全。</w:t>
      </w:r>
    </w:p>
    <w:p w14:paraId="6572ABC6">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9.2 追施</w:t>
      </w:r>
    </w:p>
    <w:p w14:paraId="7B34B267">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a) 沟施：在作物行/株间开沟，沼液按条/环状集中施用于作物种植行间，适用于粮油、蔬菜、果茶、棉麻等。</w:t>
      </w:r>
    </w:p>
    <w:p w14:paraId="2FAD13B4">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b) 穴施：按株或在两株间开穴施肥,适用于蔬菜、果茶；</w:t>
      </w:r>
    </w:p>
    <w:p w14:paraId="1DD9A4A7">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c) 淌灌：将沼液随水施入，适用于大田作物、蔬菜、果茶、棉麻等;</w:t>
      </w:r>
    </w:p>
    <w:p w14:paraId="418E605A">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d) 滴灌：沼液经过滤后输送到植物根部进行局部灌溉，适用于蔬菜、果茶，过滤精度符合NY/T 4814要求。</w:t>
      </w:r>
    </w:p>
    <w:p w14:paraId="110F9BE8">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条针对沼液追施环节，规范沟施、穴施、淌灌、滴灌四种施用方式及适用范围。沟施在作物行间开沟集中施用，适配多数粮油、经济作物，利于养分集中供给；穴施按株进行穴施，肥效更精准，多用于蔬菜、果茶等作物。淌灌随水施用，操作简便，适合大田及多种经济作物。滴灌一般需严格过滤，符合 NY/T 4814 规定，可精准输送至根部，提升肥效并减少浪费，主要适用于蔬菜、果茶。</w:t>
      </w:r>
    </w:p>
    <w:p w14:paraId="0E1333B1">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9.3 兑水稀释</w:t>
      </w:r>
    </w:p>
    <w:p w14:paraId="11B2BC5C">
      <w:pPr>
        <w:widowControl/>
        <w:adjustRightInd w:val="0"/>
        <w:snapToGrid w:val="0"/>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沼液做基肥时可以利用原液进行还田。作为追肥时需兑水稀释，稀释用水水质符合GB 5084规定。鸡粪沼液宜稀释4-6倍，猪粪沼液宜稀释3-5倍，牛粪沼液宜稀释2-3倍，秸秆沼液一般无需稀释。稀释后沼液的电导率（EC值）不高于3 ms/cm。</w:t>
      </w:r>
    </w:p>
    <w:p w14:paraId="10F0CB99">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沼液中的养分丰富，并且以速效养分为主，不同来源的沼液养分组成存在一定差异。常见的畜禽粪污沼液中，鸡粪源沼液养分含量最高，相比而言牛粪沼液养分较低（李钰飞等，2021）。尽管如此，沼液在农用前仍需要进行一定地稀释，以保障应用后不造成抑制植物生长（图1）。刘本生等（2009）对沼液稀释5倍后应用于滴灌，可使作物获得较好的生长。技术标准NY/T 2596 和NY/T 2065 也明确了沼液需经过不同程度的稀释方可应用于农作物施肥。基于前期调研数据，推荐鸡粪沼液稀释4-6倍，猪粪沼液稀释3-5倍，牛粪沼液稀释2-3倍。</w:t>
      </w:r>
    </w:p>
    <w:p w14:paraId="5124B666">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本条兑水稀释的推荐基于畜禽类的沼液性质而定</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实际操作中如秸秆类沼液电导率可能低于</w:t>
      </w:r>
      <w:r>
        <w:rPr>
          <w:rFonts w:hint="eastAsia" w:ascii="Times New Roman" w:hAnsi="Times New Roman" w:eastAsia="宋体" w:cs="Times New Roman"/>
          <w:color w:val="000000"/>
          <w:kern w:val="0"/>
          <w:sz w:val="24"/>
          <w:szCs w:val="24"/>
        </w:rPr>
        <w:t>3 ms/cm，不需要稀释就可施用。</w:t>
      </w:r>
    </w:p>
    <w:p w14:paraId="00BF6C93">
      <w:pPr>
        <w:spacing w:line="360" w:lineRule="auto"/>
        <w:ind w:firstLine="560" w:firstLineChars="200"/>
        <w:jc w:val="center"/>
        <w:rPr>
          <w:snapToGrid w:val="0"/>
          <w:color w:val="000000"/>
          <w:kern w:val="0"/>
          <w:sz w:val="28"/>
          <w:szCs w:val="28"/>
        </w:rPr>
      </w:pPr>
      <w:r>
        <w:rPr>
          <w:snapToGrid w:val="0"/>
          <w:color w:val="000000"/>
          <w:kern w:val="0"/>
          <w:sz w:val="28"/>
          <w:szCs w:val="28"/>
        </w:rPr>
        <w:drawing>
          <wp:inline distT="0" distB="0" distL="0" distR="0">
            <wp:extent cx="3480435" cy="2390775"/>
            <wp:effectExtent l="0" t="0" r="5715" b="0"/>
            <wp:docPr id="5" name="图片 5" descr="种子发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种子发芽"/>
                    <pic:cNvPicPr>
                      <a:picLocks noChangeAspect="1" noChangeArrowheads="1"/>
                    </pic:cNvPicPr>
                  </pic:nvPicPr>
                  <pic:blipFill>
                    <a:blip r:embed="rId8">
                      <a:extLst>
                        <a:ext uri="{28A0092B-C50C-407E-A947-70E740481C1C}">
                          <a14:useLocalDpi xmlns:a14="http://schemas.microsoft.com/office/drawing/2010/main" val="0"/>
                        </a:ext>
                      </a:extLst>
                    </a:blip>
                    <a:srcRect l="676" t="17929" b="17741"/>
                    <a:stretch>
                      <a:fillRect/>
                    </a:stretch>
                  </pic:blipFill>
                  <pic:spPr>
                    <a:xfrm>
                      <a:off x="0" y="0"/>
                      <a:ext cx="3481983" cy="2391752"/>
                    </a:xfrm>
                    <a:prstGeom prst="rect">
                      <a:avLst/>
                    </a:prstGeom>
                    <a:noFill/>
                    <a:ln>
                      <a:noFill/>
                    </a:ln>
                  </pic:spPr>
                </pic:pic>
              </a:graphicData>
            </a:graphic>
          </wp:inline>
        </w:drawing>
      </w:r>
    </w:p>
    <w:p w14:paraId="4AB4FB86">
      <w:pPr>
        <w:spacing w:line="360" w:lineRule="auto"/>
        <w:ind w:firstLine="440" w:firstLineChars="200"/>
        <w:jc w:val="center"/>
        <w:rPr>
          <w:rFonts w:eastAsia="黑体"/>
          <w:snapToGrid w:val="0"/>
          <w:color w:val="000000"/>
          <w:kern w:val="0"/>
          <w:sz w:val="22"/>
          <w:szCs w:val="24"/>
        </w:rPr>
      </w:pPr>
      <w:r>
        <w:rPr>
          <w:rFonts w:eastAsia="黑体"/>
          <w:snapToGrid w:val="0"/>
          <w:color w:val="000000"/>
          <w:kern w:val="0"/>
          <w:sz w:val="22"/>
          <w:szCs w:val="24"/>
        </w:rPr>
        <w:t>图1沼液稀释与种子发芽率关系</w:t>
      </w:r>
    </w:p>
    <w:p w14:paraId="1C221F65">
      <w:pPr>
        <w:adjustRightInd w:val="0"/>
        <w:snapToGrid w:val="0"/>
        <w:spacing w:line="360" w:lineRule="auto"/>
        <w:ind w:firstLine="560" w:firstLineChars="200"/>
        <w:rPr>
          <w:snapToGrid w:val="0"/>
          <w:color w:val="000000"/>
          <w:kern w:val="0"/>
          <w:sz w:val="28"/>
          <w:szCs w:val="28"/>
        </w:rPr>
      </w:pPr>
      <w:r>
        <w:rPr>
          <w:snapToGrid w:val="0"/>
          <w:color w:val="000000"/>
          <w:kern w:val="0"/>
          <w:sz w:val="28"/>
          <w:szCs w:val="28"/>
        </w:rPr>
        <w:t>沼液施肥时需根据沼液的养分来确定用量，而养分测定需将样品带回</w:t>
      </w:r>
      <w:r>
        <w:rPr>
          <w:rFonts w:ascii="Times New Roman" w:hAnsi="Times New Roman" w:cs="Times New Roman"/>
          <w:snapToGrid w:val="0"/>
          <w:color w:val="000000"/>
          <w:kern w:val="0"/>
          <w:sz w:val="24"/>
          <w:szCs w:val="28"/>
        </w:rPr>
        <w:t>化验室检测，无法即时出结果，因此直接监测养分并不方便。沼液的电导率同养分具有很好的相关性，养分越高，电导率值越大（图2）。并且电导率可田间即时测定出结果，通过测定电导率的大小即可明确沼液中的养分高低。因此推荐使用电导率来确定沼液与水的稀释程度，根据项目组多年实践经验，推荐稀释后沼液的电导率（EC）不高于3ms/cm。</w:t>
      </w:r>
    </w:p>
    <w:p w14:paraId="641B3138">
      <w:pPr>
        <w:spacing w:line="360" w:lineRule="auto"/>
        <w:ind w:firstLine="560" w:firstLineChars="200"/>
        <w:jc w:val="center"/>
        <w:rPr>
          <w:snapToGrid w:val="0"/>
          <w:color w:val="000000"/>
          <w:kern w:val="0"/>
          <w:sz w:val="28"/>
          <w:szCs w:val="28"/>
        </w:rPr>
      </w:pPr>
      <w:r>
        <w:rPr>
          <w:snapToGrid w:val="0"/>
          <w:color w:val="000000"/>
          <w:kern w:val="0"/>
          <w:sz w:val="28"/>
          <w:szCs w:val="28"/>
        </w:rPr>
        <w:drawing>
          <wp:inline distT="0" distB="0" distL="0" distR="0">
            <wp:extent cx="2276475" cy="16414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9011" cy="1643598"/>
                    </a:xfrm>
                    <a:prstGeom prst="rect">
                      <a:avLst/>
                    </a:prstGeom>
                    <a:noFill/>
                  </pic:spPr>
                </pic:pic>
              </a:graphicData>
            </a:graphic>
          </wp:inline>
        </w:drawing>
      </w:r>
    </w:p>
    <w:p w14:paraId="023C0EC9">
      <w:pPr>
        <w:widowControl/>
        <w:spacing w:line="360" w:lineRule="auto"/>
        <w:ind w:firstLine="440" w:firstLineChars="200"/>
        <w:jc w:val="center"/>
        <w:rPr>
          <w:rFonts w:ascii="Times New Roman" w:hAnsi="Times New Roman" w:eastAsia="宋体" w:cs="Times New Roman"/>
          <w:color w:val="000000"/>
          <w:kern w:val="0"/>
          <w:sz w:val="22"/>
          <w:szCs w:val="24"/>
        </w:rPr>
      </w:pPr>
      <w:r>
        <w:rPr>
          <w:rFonts w:eastAsia="黑体"/>
          <w:snapToGrid w:val="0"/>
          <w:color w:val="000000"/>
          <w:kern w:val="0"/>
          <w:sz w:val="22"/>
          <w:szCs w:val="24"/>
        </w:rPr>
        <w:t>图2沼液与电导率间的关系</w:t>
      </w:r>
    </w:p>
    <w:p w14:paraId="550FD58A">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9.4 混合施用</w:t>
      </w:r>
    </w:p>
    <w:p w14:paraId="5B7FE287">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沼液如与其他粪肥混合施用，总用量与施用方式参照GB/T 25246执行；沼液与化肥混合施用时，应避免与碱性化肥混合，防止养分挥发。</w:t>
      </w:r>
    </w:p>
    <w:p w14:paraId="54224C41">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10.记录与检测</w:t>
      </w:r>
    </w:p>
    <w:p w14:paraId="42D43314">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沼液还田前应记录卫生学指标的检测结果，还田过程应及时记录沼液类型、施用日期、施用方式、施用量等信息，确保还田数据真实准确。沼液还田期间，应对作物长势和产量进行记录，以优化还田方案。</w:t>
      </w:r>
    </w:p>
    <w:p w14:paraId="61B85B75">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提出沼液还田前、中、后的全流程记录要求，包括卫生学指标检测结果、沼液类型、施用日期、方式、施用量及作物长势、产量等，确保沼液还田数据可追溯，为优化还田方案提供依据。</w:t>
      </w:r>
    </w:p>
    <w:p w14:paraId="7899857F">
      <w:pPr>
        <w:spacing w:line="360" w:lineRule="auto"/>
        <w:ind w:firstLine="424" w:firstLineChars="176"/>
        <w:outlineLvl w:val="2"/>
        <w:rPr>
          <w:rFonts w:ascii="楷体" w:hAnsi="楷体" w:eastAsia="楷体"/>
          <w:b/>
          <w:bCs/>
          <w:snapToGrid w:val="0"/>
          <w:color w:val="000000"/>
          <w:kern w:val="0"/>
          <w:sz w:val="24"/>
          <w:szCs w:val="24"/>
          <w:lang w:val="en-GB"/>
        </w:rPr>
      </w:pPr>
      <w:r>
        <w:rPr>
          <w:rFonts w:ascii="楷体" w:hAnsi="楷体" w:eastAsia="楷体"/>
          <w:b/>
          <w:bCs/>
          <w:snapToGrid w:val="0"/>
          <w:color w:val="000000"/>
          <w:kern w:val="0"/>
          <w:sz w:val="24"/>
          <w:szCs w:val="24"/>
          <w:lang w:val="en-GB"/>
        </w:rPr>
        <w:t>11.附录：</w:t>
      </w:r>
    </w:p>
    <w:p w14:paraId="34A34BDA">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提供</w:t>
      </w:r>
      <w:r>
        <w:rPr>
          <w:rFonts w:ascii="Times New Roman" w:hAnsi="Times New Roman" w:eastAsia="宋体" w:cs="Times New Roman"/>
          <w:bCs/>
          <w:color w:val="000000"/>
          <w:kern w:val="0"/>
          <w:sz w:val="24"/>
          <w:szCs w:val="24"/>
        </w:rPr>
        <w:t>主要农作物形成 100kg 产量需要吸收氮量</w:t>
      </w:r>
      <w:r>
        <w:rPr>
          <w:rFonts w:ascii="Times New Roman" w:hAnsi="Times New Roman" w:eastAsia="宋体" w:cs="Times New Roman"/>
          <w:color w:val="000000"/>
          <w:kern w:val="0"/>
          <w:sz w:val="24"/>
          <w:szCs w:val="24"/>
        </w:rPr>
        <w:t>、</w:t>
      </w:r>
      <w:r>
        <w:rPr>
          <w:rFonts w:ascii="Times New Roman" w:hAnsi="Times New Roman" w:eastAsia="宋体" w:cs="Times New Roman"/>
          <w:bCs/>
          <w:color w:val="000000"/>
          <w:kern w:val="0"/>
          <w:sz w:val="24"/>
          <w:szCs w:val="24"/>
        </w:rPr>
        <w:t>土壤不同氮肥力等级下肥料供给氮占比</w:t>
      </w:r>
      <w:r>
        <w:rPr>
          <w:rFonts w:ascii="Times New Roman" w:hAnsi="Times New Roman" w:eastAsia="宋体" w:cs="Times New Roman"/>
          <w:color w:val="000000"/>
          <w:kern w:val="0"/>
          <w:sz w:val="24"/>
          <w:szCs w:val="24"/>
        </w:rPr>
        <w:t>、</w:t>
      </w:r>
      <w:r>
        <w:rPr>
          <w:rFonts w:ascii="Times New Roman" w:hAnsi="Times New Roman" w:eastAsia="宋体" w:cs="Times New Roman"/>
          <w:bCs/>
          <w:color w:val="000000"/>
          <w:kern w:val="0"/>
          <w:sz w:val="24"/>
          <w:szCs w:val="24"/>
        </w:rPr>
        <w:t>不同类型沼液含氮量</w:t>
      </w:r>
      <w:r>
        <w:rPr>
          <w:rFonts w:ascii="Times New Roman" w:hAnsi="Times New Roman" w:eastAsia="宋体" w:cs="Times New Roman"/>
          <w:color w:val="000000"/>
          <w:kern w:val="0"/>
          <w:sz w:val="24"/>
          <w:szCs w:val="24"/>
        </w:rPr>
        <w:t>三组参考参数，为施用量计算公式的实际应用提供数据支撑，是标准的重要配套内容。</w:t>
      </w:r>
    </w:p>
    <w:p w14:paraId="77A1C7A1">
      <w:pPr>
        <w:widowControl/>
        <w:spacing w:line="360" w:lineRule="auto"/>
        <w:ind w:firstLine="480" w:firstLineChars="200"/>
        <w:jc w:val="left"/>
        <w:rPr>
          <w:rFonts w:ascii="Times New Roman" w:hAnsi="Times New Roman" w:cs="Times New Roman"/>
          <w:snapToGrid w:val="0"/>
          <w:color w:val="000000"/>
          <w:kern w:val="0"/>
          <w:sz w:val="24"/>
          <w:szCs w:val="24"/>
        </w:rPr>
      </w:pPr>
      <w:r>
        <w:rPr>
          <w:rFonts w:ascii="Times New Roman" w:hAnsi="Times New Roman" w:cs="Times New Roman"/>
          <w:color w:val="000000"/>
          <w:sz w:val="24"/>
          <w:szCs w:val="21"/>
        </w:rPr>
        <w:t>附表3 为当前我国主要种植的农作物形成100 kg产量需要吸收氮量参考值</w:t>
      </w:r>
      <w:r>
        <w:rPr>
          <w:rFonts w:hint="eastAsia" w:ascii="Times New Roman" w:hAnsi="Times New Roman" w:cs="Times New Roman"/>
          <w:color w:val="000000"/>
          <w:sz w:val="24"/>
          <w:szCs w:val="21"/>
        </w:rPr>
        <w:t>，主要来源参考</w:t>
      </w:r>
      <w:r>
        <w:rPr>
          <w:rFonts w:ascii="Times New Roman" w:hAnsi="Times New Roman" w:cs="Times New Roman"/>
          <w:snapToGrid w:val="0"/>
          <w:color w:val="000000"/>
          <w:kern w:val="0"/>
          <w:sz w:val="24"/>
          <w:szCs w:val="24"/>
        </w:rPr>
        <w:t>NY/T 3877标准</w:t>
      </w:r>
      <w:r>
        <w:rPr>
          <w:rFonts w:hint="eastAsia" w:ascii="Times New Roman" w:hAnsi="Times New Roman" w:cs="Times New Roman"/>
          <w:snapToGrid w:val="0"/>
          <w:color w:val="000000"/>
          <w:kern w:val="0"/>
          <w:sz w:val="24"/>
          <w:szCs w:val="24"/>
        </w:rPr>
        <w:t>。</w:t>
      </w:r>
    </w:p>
    <w:p w14:paraId="2EF0FB44">
      <w:pPr>
        <w:jc w:val="center"/>
        <w:rPr>
          <w:rFonts w:ascii="黑体" w:hAnsi="黑体" w:eastAsia="黑体"/>
        </w:rPr>
      </w:pPr>
      <w:r>
        <w:rPr>
          <w:rFonts w:ascii="黑体" w:hAnsi="黑体" w:eastAsia="黑体"/>
        </w:rPr>
        <w:t>表3 主要农作物形成100 kg产量需要吸收氮量参考值</w:t>
      </w:r>
    </w:p>
    <w:tbl>
      <w:tblPr>
        <w:tblStyle w:val="12"/>
        <w:tblW w:w="5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607"/>
        <w:gridCol w:w="1134"/>
        <w:gridCol w:w="1619"/>
      </w:tblGrid>
      <w:tr w14:paraId="29E0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vAlign w:val="center"/>
          </w:tcPr>
          <w:p w14:paraId="6DE43CD6">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作物</w:t>
            </w:r>
          </w:p>
        </w:tc>
        <w:tc>
          <w:tcPr>
            <w:tcW w:w="1607" w:type="dxa"/>
            <w:shd w:val="clear" w:color="auto" w:fill="auto"/>
            <w:noWrap/>
            <w:vAlign w:val="center"/>
          </w:tcPr>
          <w:p w14:paraId="67FED57A">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氮（N）</w:t>
            </w:r>
            <w:r>
              <w:rPr>
                <w:rFonts w:hint="eastAsia" w:ascii="Times New Roman" w:hAnsi="Times New Roman" w:eastAsia="仿宋" w:cs="Times New Roman"/>
                <w:kern w:val="0"/>
                <w:szCs w:val="21"/>
              </w:rPr>
              <w:t>/kg</w:t>
            </w:r>
          </w:p>
        </w:tc>
        <w:tc>
          <w:tcPr>
            <w:tcW w:w="1134" w:type="dxa"/>
            <w:shd w:val="clear" w:color="auto" w:fill="auto"/>
            <w:vAlign w:val="center"/>
          </w:tcPr>
          <w:p w14:paraId="36508D5A">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作物</w:t>
            </w:r>
          </w:p>
        </w:tc>
        <w:tc>
          <w:tcPr>
            <w:tcW w:w="1619" w:type="dxa"/>
            <w:shd w:val="clear" w:color="auto" w:fill="auto"/>
            <w:noWrap/>
            <w:vAlign w:val="center"/>
          </w:tcPr>
          <w:p w14:paraId="4B4B7BFA">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氮（N）</w:t>
            </w:r>
            <w:r>
              <w:rPr>
                <w:rFonts w:hint="eastAsia" w:ascii="Times New Roman" w:hAnsi="Times New Roman" w:eastAsia="仿宋" w:cs="Times New Roman"/>
                <w:kern w:val="0"/>
                <w:szCs w:val="21"/>
              </w:rPr>
              <w:t>/kg</w:t>
            </w:r>
          </w:p>
        </w:tc>
      </w:tr>
      <w:tr w14:paraId="2CD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138D6EFB">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小麦</w:t>
            </w:r>
          </w:p>
        </w:tc>
        <w:tc>
          <w:tcPr>
            <w:tcW w:w="1607" w:type="dxa"/>
            <w:shd w:val="clear" w:color="auto" w:fill="auto"/>
            <w:noWrap/>
            <w:vAlign w:val="center"/>
          </w:tcPr>
          <w:p w14:paraId="33E74C5B">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3.00 </w:t>
            </w:r>
          </w:p>
        </w:tc>
        <w:tc>
          <w:tcPr>
            <w:tcW w:w="1134" w:type="dxa"/>
            <w:shd w:val="clear" w:color="auto" w:fill="auto"/>
            <w:noWrap/>
            <w:vAlign w:val="center"/>
          </w:tcPr>
          <w:p w14:paraId="4B69093D">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大葱</w:t>
            </w:r>
          </w:p>
        </w:tc>
        <w:tc>
          <w:tcPr>
            <w:tcW w:w="1619" w:type="dxa"/>
            <w:shd w:val="clear" w:color="auto" w:fill="auto"/>
            <w:noWrap/>
            <w:vAlign w:val="center"/>
          </w:tcPr>
          <w:p w14:paraId="17943C42">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0.19 </w:t>
            </w:r>
          </w:p>
        </w:tc>
      </w:tr>
      <w:tr w14:paraId="7972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06F2EDB8">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水稻</w:t>
            </w:r>
          </w:p>
        </w:tc>
        <w:tc>
          <w:tcPr>
            <w:tcW w:w="1607" w:type="dxa"/>
            <w:shd w:val="clear" w:color="auto" w:fill="auto"/>
            <w:noWrap/>
            <w:vAlign w:val="center"/>
          </w:tcPr>
          <w:p w14:paraId="3096585A">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2.20 </w:t>
            </w:r>
          </w:p>
        </w:tc>
        <w:tc>
          <w:tcPr>
            <w:tcW w:w="1134" w:type="dxa"/>
            <w:shd w:val="clear" w:color="auto" w:fill="auto"/>
            <w:noWrap/>
            <w:vAlign w:val="center"/>
          </w:tcPr>
          <w:p w14:paraId="12C84A7E">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大蒜</w:t>
            </w:r>
          </w:p>
        </w:tc>
        <w:tc>
          <w:tcPr>
            <w:tcW w:w="1619" w:type="dxa"/>
            <w:shd w:val="clear" w:color="auto" w:fill="auto"/>
            <w:noWrap/>
            <w:vAlign w:val="center"/>
          </w:tcPr>
          <w:p w14:paraId="28DE766D">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0.82 </w:t>
            </w:r>
          </w:p>
        </w:tc>
      </w:tr>
      <w:tr w14:paraId="1B6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2643E15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玉米</w:t>
            </w:r>
          </w:p>
        </w:tc>
        <w:tc>
          <w:tcPr>
            <w:tcW w:w="1607" w:type="dxa"/>
            <w:shd w:val="clear" w:color="auto" w:fill="auto"/>
            <w:noWrap/>
            <w:vAlign w:val="center"/>
          </w:tcPr>
          <w:p w14:paraId="15281DC6">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2.30 </w:t>
            </w:r>
          </w:p>
        </w:tc>
        <w:tc>
          <w:tcPr>
            <w:tcW w:w="1134" w:type="dxa"/>
            <w:shd w:val="clear" w:color="auto" w:fill="auto"/>
            <w:noWrap/>
            <w:vAlign w:val="center"/>
          </w:tcPr>
          <w:p w14:paraId="3F0AE8A1">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苹果</w:t>
            </w:r>
          </w:p>
        </w:tc>
        <w:tc>
          <w:tcPr>
            <w:tcW w:w="1619" w:type="dxa"/>
            <w:shd w:val="clear" w:color="auto" w:fill="auto"/>
            <w:noWrap/>
            <w:vAlign w:val="center"/>
          </w:tcPr>
          <w:p w14:paraId="208B4F11">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0.30 </w:t>
            </w:r>
          </w:p>
        </w:tc>
      </w:tr>
      <w:tr w14:paraId="20BC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0E91F63E">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谷子</w:t>
            </w:r>
          </w:p>
        </w:tc>
        <w:tc>
          <w:tcPr>
            <w:tcW w:w="1607" w:type="dxa"/>
            <w:shd w:val="clear" w:color="auto" w:fill="auto"/>
            <w:noWrap/>
            <w:vAlign w:val="center"/>
          </w:tcPr>
          <w:p w14:paraId="10A069B7">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3.80 </w:t>
            </w:r>
          </w:p>
        </w:tc>
        <w:tc>
          <w:tcPr>
            <w:tcW w:w="1134" w:type="dxa"/>
            <w:shd w:val="clear" w:color="auto" w:fill="auto"/>
            <w:noWrap/>
            <w:vAlign w:val="center"/>
          </w:tcPr>
          <w:p w14:paraId="75044601">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梨</w:t>
            </w:r>
          </w:p>
        </w:tc>
        <w:tc>
          <w:tcPr>
            <w:tcW w:w="1619" w:type="dxa"/>
            <w:shd w:val="clear" w:color="auto" w:fill="auto"/>
            <w:noWrap/>
            <w:vAlign w:val="center"/>
          </w:tcPr>
          <w:p w14:paraId="3FFE7ADE">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0.47 </w:t>
            </w:r>
          </w:p>
        </w:tc>
      </w:tr>
      <w:tr w14:paraId="0533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753D5F39">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大豆</w:t>
            </w:r>
          </w:p>
        </w:tc>
        <w:tc>
          <w:tcPr>
            <w:tcW w:w="1607" w:type="dxa"/>
            <w:shd w:val="clear" w:color="auto" w:fill="auto"/>
            <w:noWrap/>
            <w:vAlign w:val="center"/>
          </w:tcPr>
          <w:p w14:paraId="4E7AF4E2">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7.20 </w:t>
            </w:r>
          </w:p>
        </w:tc>
        <w:tc>
          <w:tcPr>
            <w:tcW w:w="1134" w:type="dxa"/>
            <w:shd w:val="clear" w:color="auto" w:fill="auto"/>
            <w:noWrap/>
            <w:vAlign w:val="center"/>
          </w:tcPr>
          <w:p w14:paraId="5E116096">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桃</w:t>
            </w:r>
          </w:p>
        </w:tc>
        <w:tc>
          <w:tcPr>
            <w:tcW w:w="1619" w:type="dxa"/>
            <w:shd w:val="clear" w:color="auto" w:fill="auto"/>
            <w:noWrap/>
            <w:vAlign w:val="center"/>
          </w:tcPr>
          <w:p w14:paraId="5BB3363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0.21 </w:t>
            </w:r>
          </w:p>
        </w:tc>
      </w:tr>
      <w:tr w14:paraId="2C07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1C76BBE2">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马铃薯</w:t>
            </w:r>
          </w:p>
        </w:tc>
        <w:tc>
          <w:tcPr>
            <w:tcW w:w="1607" w:type="dxa"/>
            <w:shd w:val="clear" w:color="auto" w:fill="auto"/>
            <w:noWrap/>
            <w:vAlign w:val="center"/>
          </w:tcPr>
          <w:p w14:paraId="12127E55">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0.50 </w:t>
            </w:r>
          </w:p>
        </w:tc>
        <w:tc>
          <w:tcPr>
            <w:tcW w:w="1134" w:type="dxa"/>
            <w:shd w:val="clear" w:color="auto" w:fill="auto"/>
            <w:noWrap/>
            <w:vAlign w:val="center"/>
          </w:tcPr>
          <w:p w14:paraId="6A854351">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葡萄</w:t>
            </w:r>
          </w:p>
        </w:tc>
        <w:tc>
          <w:tcPr>
            <w:tcW w:w="1619" w:type="dxa"/>
            <w:shd w:val="clear" w:color="auto" w:fill="auto"/>
            <w:noWrap/>
            <w:vAlign w:val="center"/>
          </w:tcPr>
          <w:p w14:paraId="15745C5C">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0.74 </w:t>
            </w:r>
          </w:p>
        </w:tc>
      </w:tr>
      <w:tr w14:paraId="2CBB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48D19675">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黄瓜</w:t>
            </w:r>
          </w:p>
        </w:tc>
        <w:tc>
          <w:tcPr>
            <w:tcW w:w="1607" w:type="dxa"/>
            <w:shd w:val="clear" w:color="auto" w:fill="auto"/>
            <w:noWrap/>
            <w:vAlign w:val="center"/>
          </w:tcPr>
          <w:p w14:paraId="2B85D6D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0.28 </w:t>
            </w:r>
          </w:p>
        </w:tc>
        <w:tc>
          <w:tcPr>
            <w:tcW w:w="1134" w:type="dxa"/>
            <w:shd w:val="clear" w:color="auto" w:fill="auto"/>
            <w:noWrap/>
            <w:vAlign w:val="center"/>
          </w:tcPr>
          <w:p w14:paraId="488F5211">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香蕉</w:t>
            </w:r>
          </w:p>
        </w:tc>
        <w:tc>
          <w:tcPr>
            <w:tcW w:w="1619" w:type="dxa"/>
            <w:shd w:val="clear" w:color="auto" w:fill="auto"/>
            <w:noWrap/>
            <w:vAlign w:val="center"/>
          </w:tcPr>
          <w:p w14:paraId="3D4C21DB">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0.73 </w:t>
            </w:r>
          </w:p>
        </w:tc>
      </w:tr>
      <w:tr w14:paraId="5309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331906AE">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番茄</w:t>
            </w:r>
          </w:p>
        </w:tc>
        <w:tc>
          <w:tcPr>
            <w:tcW w:w="1607" w:type="dxa"/>
            <w:shd w:val="clear" w:color="auto" w:fill="auto"/>
            <w:noWrap/>
            <w:vAlign w:val="center"/>
          </w:tcPr>
          <w:p w14:paraId="6222155B">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0.33 </w:t>
            </w:r>
          </w:p>
        </w:tc>
        <w:tc>
          <w:tcPr>
            <w:tcW w:w="1134" w:type="dxa"/>
            <w:shd w:val="clear" w:color="auto" w:fill="auto"/>
            <w:noWrap/>
            <w:vAlign w:val="center"/>
          </w:tcPr>
          <w:p w14:paraId="509A1D39">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柑桔</w:t>
            </w:r>
          </w:p>
        </w:tc>
        <w:tc>
          <w:tcPr>
            <w:tcW w:w="1619" w:type="dxa"/>
            <w:shd w:val="clear" w:color="auto" w:fill="auto"/>
            <w:noWrap/>
            <w:vAlign w:val="center"/>
          </w:tcPr>
          <w:p w14:paraId="435FF36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0.60 </w:t>
            </w:r>
          </w:p>
        </w:tc>
      </w:tr>
      <w:tr w14:paraId="2B44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1F6EAF45">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青椒</w:t>
            </w:r>
          </w:p>
        </w:tc>
        <w:tc>
          <w:tcPr>
            <w:tcW w:w="1607" w:type="dxa"/>
            <w:shd w:val="clear" w:color="auto" w:fill="auto"/>
            <w:noWrap/>
            <w:vAlign w:val="center"/>
          </w:tcPr>
          <w:p w14:paraId="7446AF26">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0.51 </w:t>
            </w:r>
          </w:p>
        </w:tc>
        <w:tc>
          <w:tcPr>
            <w:tcW w:w="1134" w:type="dxa"/>
            <w:shd w:val="clear" w:color="auto" w:fill="auto"/>
            <w:noWrap/>
            <w:vAlign w:val="center"/>
          </w:tcPr>
          <w:p w14:paraId="56BA30C6">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甘蔗</w:t>
            </w:r>
          </w:p>
        </w:tc>
        <w:tc>
          <w:tcPr>
            <w:tcW w:w="1619" w:type="dxa"/>
            <w:shd w:val="clear" w:color="auto" w:fill="auto"/>
            <w:noWrap/>
            <w:vAlign w:val="center"/>
          </w:tcPr>
          <w:p w14:paraId="3FEE126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0.18 </w:t>
            </w:r>
          </w:p>
        </w:tc>
      </w:tr>
      <w:tr w14:paraId="729C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7A29F7C8">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茄子</w:t>
            </w:r>
          </w:p>
        </w:tc>
        <w:tc>
          <w:tcPr>
            <w:tcW w:w="1607" w:type="dxa"/>
            <w:shd w:val="clear" w:color="auto" w:fill="auto"/>
            <w:noWrap/>
            <w:vAlign w:val="center"/>
          </w:tcPr>
          <w:p w14:paraId="37139DE8">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0.34 </w:t>
            </w:r>
          </w:p>
        </w:tc>
        <w:tc>
          <w:tcPr>
            <w:tcW w:w="1134" w:type="dxa"/>
            <w:shd w:val="clear" w:color="auto" w:fill="auto"/>
            <w:noWrap/>
            <w:vAlign w:val="center"/>
          </w:tcPr>
          <w:p w14:paraId="069D96A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甜菜</w:t>
            </w:r>
          </w:p>
        </w:tc>
        <w:tc>
          <w:tcPr>
            <w:tcW w:w="1619" w:type="dxa"/>
            <w:shd w:val="clear" w:color="auto" w:fill="auto"/>
            <w:noWrap/>
            <w:vAlign w:val="center"/>
          </w:tcPr>
          <w:p w14:paraId="66A8BE62">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0.48 </w:t>
            </w:r>
          </w:p>
        </w:tc>
      </w:tr>
      <w:tr w14:paraId="7EBF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7EC9CA98">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大白菜</w:t>
            </w:r>
          </w:p>
        </w:tc>
        <w:tc>
          <w:tcPr>
            <w:tcW w:w="1607" w:type="dxa"/>
            <w:shd w:val="clear" w:color="auto" w:fill="auto"/>
            <w:noWrap/>
            <w:vAlign w:val="center"/>
          </w:tcPr>
          <w:p w14:paraId="1E6E22D4">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0.15 </w:t>
            </w:r>
          </w:p>
        </w:tc>
        <w:tc>
          <w:tcPr>
            <w:tcW w:w="1134" w:type="dxa"/>
            <w:shd w:val="clear" w:color="auto" w:fill="auto"/>
            <w:noWrap/>
            <w:vAlign w:val="center"/>
          </w:tcPr>
          <w:p w14:paraId="023AF15E">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烟叶</w:t>
            </w:r>
          </w:p>
        </w:tc>
        <w:tc>
          <w:tcPr>
            <w:tcW w:w="1619" w:type="dxa"/>
            <w:shd w:val="clear" w:color="auto" w:fill="auto"/>
            <w:noWrap/>
            <w:vAlign w:val="center"/>
          </w:tcPr>
          <w:p w14:paraId="2A4A482A">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3.85 </w:t>
            </w:r>
          </w:p>
        </w:tc>
      </w:tr>
      <w:tr w14:paraId="6021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6" w:type="dxa"/>
            <w:shd w:val="clear" w:color="auto" w:fill="auto"/>
            <w:noWrap/>
            <w:vAlign w:val="center"/>
          </w:tcPr>
          <w:p w14:paraId="0A70F29C">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萝卜</w:t>
            </w:r>
          </w:p>
        </w:tc>
        <w:tc>
          <w:tcPr>
            <w:tcW w:w="1607" w:type="dxa"/>
            <w:shd w:val="clear" w:color="auto" w:fill="auto"/>
            <w:noWrap/>
            <w:vAlign w:val="center"/>
          </w:tcPr>
          <w:p w14:paraId="2A17EDF7">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0.28 </w:t>
            </w:r>
          </w:p>
        </w:tc>
        <w:tc>
          <w:tcPr>
            <w:tcW w:w="1134" w:type="dxa"/>
            <w:shd w:val="clear" w:color="auto" w:fill="auto"/>
            <w:noWrap/>
            <w:vAlign w:val="center"/>
          </w:tcPr>
          <w:p w14:paraId="7310E568">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茶叶</w:t>
            </w:r>
          </w:p>
        </w:tc>
        <w:tc>
          <w:tcPr>
            <w:tcW w:w="1619" w:type="dxa"/>
            <w:shd w:val="clear" w:color="auto" w:fill="auto"/>
            <w:noWrap/>
            <w:vAlign w:val="center"/>
          </w:tcPr>
          <w:p w14:paraId="6A3DCE53">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 xml:space="preserve">6.40 </w:t>
            </w:r>
          </w:p>
        </w:tc>
      </w:tr>
    </w:tbl>
    <w:p w14:paraId="75393DE3">
      <w:pPr>
        <w:widowControl/>
        <w:spacing w:line="360" w:lineRule="auto"/>
        <w:ind w:firstLine="480" w:firstLineChars="200"/>
        <w:jc w:val="left"/>
        <w:rPr>
          <w:rFonts w:ascii="Times New Roman" w:hAnsi="Times New Roman" w:cs="Times New Roman"/>
          <w:snapToGrid w:val="0"/>
          <w:color w:val="000000"/>
          <w:kern w:val="0"/>
          <w:sz w:val="24"/>
          <w:szCs w:val="24"/>
        </w:rPr>
      </w:pPr>
    </w:p>
    <w:p w14:paraId="30081C49">
      <w:pPr>
        <w:widowControl/>
        <w:spacing w:line="360" w:lineRule="auto"/>
        <w:ind w:firstLine="480" w:firstLineChars="20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附表4 为土壤不同氮肥力等级下土壤供给氮占比参考值</w:t>
      </w:r>
      <w:r>
        <w:rPr>
          <w:rFonts w:hint="eastAsia"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t>为主要作物在不同肥力条件下肥料供氮的比例</w:t>
      </w:r>
      <w:r>
        <w:rPr>
          <w:rFonts w:hint="eastAsia"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t>肥力越高土壤供氮能力越强</w:t>
      </w:r>
      <w:r>
        <w:rPr>
          <w:rFonts w:hint="eastAsia"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t>因此需要肥料进行供氮的需求相对较低</w:t>
      </w:r>
      <w:r>
        <w:rPr>
          <w:rFonts w:hint="eastAsia" w:ascii="Times New Roman" w:hAnsi="Times New Roman" w:cs="Times New Roman"/>
          <w:snapToGrid w:val="0"/>
          <w:color w:val="000000"/>
          <w:kern w:val="0"/>
          <w:sz w:val="24"/>
          <w:szCs w:val="24"/>
        </w:rPr>
        <w:t>。</w:t>
      </w:r>
    </w:p>
    <w:p w14:paraId="10439355">
      <w:pPr>
        <w:widowControl/>
        <w:spacing w:line="360" w:lineRule="auto"/>
        <w:ind w:firstLine="480" w:firstLineChars="200"/>
        <w:jc w:val="left"/>
        <w:rPr>
          <w:rFonts w:ascii="Times New Roman" w:hAnsi="Times New Roman" w:cs="Times New Roman"/>
          <w:snapToGrid w:val="0"/>
          <w:color w:val="000000"/>
          <w:kern w:val="0"/>
          <w:sz w:val="24"/>
          <w:szCs w:val="24"/>
        </w:rPr>
      </w:pPr>
    </w:p>
    <w:p w14:paraId="4231E8DF">
      <w:pPr>
        <w:jc w:val="center"/>
        <w:rPr>
          <w:rFonts w:ascii="黑体" w:hAnsi="黑体" w:eastAsia="黑体"/>
        </w:rPr>
      </w:pPr>
      <w:r>
        <w:rPr>
          <w:rFonts w:ascii="黑体" w:hAnsi="黑体" w:eastAsia="黑体"/>
        </w:rPr>
        <w:t>表</w:t>
      </w:r>
      <w:bookmarkStart w:id="17" w:name="_Hlk185589201"/>
      <w:r>
        <w:rPr>
          <w:rFonts w:ascii="黑体" w:hAnsi="黑体" w:eastAsia="黑体"/>
        </w:rPr>
        <w:t>4土壤不同氮肥力等级下肥料供给氮量占作物需氮量比例参考值</w:t>
      </w:r>
      <w:bookmarkEnd w:id="17"/>
    </w:p>
    <w:tbl>
      <w:tblPr>
        <w:tblStyle w:val="12"/>
        <w:tblW w:w="5000" w:type="pct"/>
        <w:tblInd w:w="0" w:type="dxa"/>
        <w:tblLayout w:type="autofit"/>
        <w:tblCellMar>
          <w:top w:w="0" w:type="dxa"/>
          <w:left w:w="108" w:type="dxa"/>
          <w:bottom w:w="0" w:type="dxa"/>
          <w:right w:w="108" w:type="dxa"/>
        </w:tblCellMar>
      </w:tblPr>
      <w:tblGrid>
        <w:gridCol w:w="2323"/>
        <w:gridCol w:w="2160"/>
        <w:gridCol w:w="1274"/>
        <w:gridCol w:w="1330"/>
        <w:gridCol w:w="1435"/>
      </w:tblGrid>
      <w:tr w14:paraId="3D298D05">
        <w:tblPrEx>
          <w:tblCellMar>
            <w:top w:w="0" w:type="dxa"/>
            <w:left w:w="108" w:type="dxa"/>
            <w:bottom w:w="0" w:type="dxa"/>
            <w:right w:w="108" w:type="dxa"/>
          </w:tblCellMar>
        </w:tblPrEx>
        <w:trPr>
          <w:trHeight w:val="404" w:hRule="atLeast"/>
        </w:trPr>
        <w:tc>
          <w:tcPr>
            <w:tcW w:w="2569"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FBF9060">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土壤氮肥力等级</w:t>
            </w:r>
          </w:p>
        </w:tc>
        <w:tc>
          <w:tcPr>
            <w:tcW w:w="768" w:type="pct"/>
            <w:tcBorders>
              <w:top w:val="single" w:color="auto" w:sz="4" w:space="0"/>
              <w:left w:val="nil"/>
              <w:bottom w:val="single" w:color="auto" w:sz="4" w:space="0"/>
              <w:right w:val="single" w:color="auto" w:sz="4" w:space="0"/>
            </w:tcBorders>
            <w:shd w:val="clear" w:color="auto" w:fill="auto"/>
            <w:noWrap/>
            <w:vAlign w:val="center"/>
          </w:tcPr>
          <w:p w14:paraId="431272CA">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I</w:t>
            </w:r>
          </w:p>
        </w:tc>
        <w:tc>
          <w:tcPr>
            <w:tcW w:w="801" w:type="pct"/>
            <w:tcBorders>
              <w:top w:val="single" w:color="auto" w:sz="4" w:space="0"/>
              <w:left w:val="nil"/>
              <w:bottom w:val="single" w:color="auto" w:sz="4" w:space="0"/>
              <w:right w:val="single" w:color="auto" w:sz="4" w:space="0"/>
            </w:tcBorders>
            <w:shd w:val="clear" w:color="auto" w:fill="auto"/>
            <w:noWrap/>
            <w:vAlign w:val="center"/>
          </w:tcPr>
          <w:p w14:paraId="35CA86E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II</w:t>
            </w:r>
          </w:p>
        </w:tc>
        <w:tc>
          <w:tcPr>
            <w:tcW w:w="862" w:type="pct"/>
            <w:tcBorders>
              <w:top w:val="single" w:color="auto" w:sz="4" w:space="0"/>
              <w:left w:val="nil"/>
              <w:bottom w:val="single" w:color="auto" w:sz="4" w:space="0"/>
              <w:right w:val="single" w:color="auto" w:sz="4" w:space="0"/>
            </w:tcBorders>
            <w:shd w:val="clear" w:color="auto" w:fill="auto"/>
            <w:noWrap/>
            <w:vAlign w:val="center"/>
          </w:tcPr>
          <w:p w14:paraId="35A60564">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III</w:t>
            </w:r>
          </w:p>
        </w:tc>
      </w:tr>
      <w:tr w14:paraId="4EC4558A">
        <w:tblPrEx>
          <w:tblCellMar>
            <w:top w:w="0" w:type="dxa"/>
            <w:left w:w="108" w:type="dxa"/>
            <w:bottom w:w="0" w:type="dxa"/>
            <w:right w:w="108" w:type="dxa"/>
          </w:tblCellMar>
        </w:tblPrEx>
        <w:trPr>
          <w:trHeight w:val="404" w:hRule="atLeast"/>
        </w:trPr>
        <w:tc>
          <w:tcPr>
            <w:tcW w:w="1281" w:type="pct"/>
            <w:vMerge w:val="restart"/>
            <w:tcBorders>
              <w:top w:val="nil"/>
              <w:left w:val="single" w:color="auto" w:sz="4" w:space="0"/>
              <w:bottom w:val="single" w:color="000000" w:sz="4" w:space="0"/>
              <w:right w:val="single" w:color="auto" w:sz="4" w:space="0"/>
            </w:tcBorders>
            <w:shd w:val="clear" w:color="auto" w:fill="auto"/>
            <w:noWrap/>
            <w:vAlign w:val="center"/>
          </w:tcPr>
          <w:p w14:paraId="7E13BB6D">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土壤全氮含量，g/kg</w:t>
            </w:r>
          </w:p>
        </w:tc>
        <w:tc>
          <w:tcPr>
            <w:tcW w:w="1288" w:type="pct"/>
            <w:tcBorders>
              <w:top w:val="nil"/>
              <w:left w:val="nil"/>
              <w:bottom w:val="single" w:color="auto" w:sz="4" w:space="0"/>
              <w:right w:val="single" w:color="auto" w:sz="4" w:space="0"/>
            </w:tcBorders>
            <w:shd w:val="clear" w:color="auto" w:fill="auto"/>
            <w:noWrap/>
            <w:vAlign w:val="center"/>
          </w:tcPr>
          <w:p w14:paraId="560A30C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旱地(大田作物)</w:t>
            </w:r>
          </w:p>
        </w:tc>
        <w:tc>
          <w:tcPr>
            <w:tcW w:w="768" w:type="pct"/>
            <w:tcBorders>
              <w:top w:val="nil"/>
              <w:left w:val="nil"/>
              <w:bottom w:val="single" w:color="auto" w:sz="4" w:space="0"/>
              <w:right w:val="single" w:color="auto" w:sz="4" w:space="0"/>
            </w:tcBorders>
            <w:shd w:val="clear" w:color="auto" w:fill="auto"/>
            <w:noWrap/>
            <w:vAlign w:val="center"/>
          </w:tcPr>
          <w:p w14:paraId="5FFEC0A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&gt;1.0</w:t>
            </w:r>
          </w:p>
        </w:tc>
        <w:tc>
          <w:tcPr>
            <w:tcW w:w="801" w:type="pct"/>
            <w:tcBorders>
              <w:top w:val="nil"/>
              <w:left w:val="nil"/>
              <w:bottom w:val="single" w:color="auto" w:sz="4" w:space="0"/>
              <w:right w:val="single" w:color="auto" w:sz="4" w:space="0"/>
            </w:tcBorders>
            <w:shd w:val="clear" w:color="auto" w:fill="auto"/>
            <w:noWrap/>
            <w:vAlign w:val="center"/>
          </w:tcPr>
          <w:p w14:paraId="4B327A0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0.8~1.0</w:t>
            </w:r>
          </w:p>
        </w:tc>
        <w:tc>
          <w:tcPr>
            <w:tcW w:w="862" w:type="pct"/>
            <w:tcBorders>
              <w:top w:val="nil"/>
              <w:left w:val="nil"/>
              <w:bottom w:val="single" w:color="auto" w:sz="4" w:space="0"/>
              <w:right w:val="single" w:color="auto" w:sz="4" w:space="0"/>
            </w:tcBorders>
            <w:shd w:val="clear" w:color="auto" w:fill="auto"/>
            <w:noWrap/>
            <w:vAlign w:val="center"/>
          </w:tcPr>
          <w:p w14:paraId="6A80157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&lt;0.8</w:t>
            </w:r>
          </w:p>
        </w:tc>
      </w:tr>
      <w:tr w14:paraId="68524547">
        <w:tblPrEx>
          <w:tblCellMar>
            <w:top w:w="0" w:type="dxa"/>
            <w:left w:w="108" w:type="dxa"/>
            <w:bottom w:w="0" w:type="dxa"/>
            <w:right w:w="108" w:type="dxa"/>
          </w:tblCellMar>
        </w:tblPrEx>
        <w:trPr>
          <w:trHeight w:val="404" w:hRule="atLeast"/>
        </w:trPr>
        <w:tc>
          <w:tcPr>
            <w:tcW w:w="1281" w:type="pct"/>
            <w:vMerge w:val="continue"/>
            <w:tcBorders>
              <w:top w:val="nil"/>
              <w:left w:val="single" w:color="auto" w:sz="4" w:space="0"/>
              <w:bottom w:val="single" w:color="000000" w:sz="4" w:space="0"/>
              <w:right w:val="single" w:color="auto" w:sz="4" w:space="0"/>
            </w:tcBorders>
            <w:vAlign w:val="center"/>
          </w:tcPr>
          <w:p w14:paraId="5D126AC5">
            <w:pPr>
              <w:widowControl/>
              <w:jc w:val="left"/>
              <w:rPr>
                <w:rFonts w:ascii="Times New Roman" w:hAnsi="Times New Roman" w:eastAsia="仿宋" w:cs="Times New Roman"/>
                <w:color w:val="000000"/>
                <w:kern w:val="0"/>
                <w:sz w:val="24"/>
                <w:szCs w:val="24"/>
              </w:rPr>
            </w:pPr>
          </w:p>
        </w:tc>
        <w:tc>
          <w:tcPr>
            <w:tcW w:w="1288" w:type="pct"/>
            <w:tcBorders>
              <w:top w:val="nil"/>
              <w:left w:val="nil"/>
              <w:bottom w:val="single" w:color="auto" w:sz="4" w:space="0"/>
              <w:right w:val="single" w:color="auto" w:sz="4" w:space="0"/>
            </w:tcBorders>
            <w:shd w:val="clear" w:color="auto" w:fill="auto"/>
            <w:noWrap/>
            <w:vAlign w:val="center"/>
          </w:tcPr>
          <w:p w14:paraId="2696E70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水田</w:t>
            </w:r>
          </w:p>
        </w:tc>
        <w:tc>
          <w:tcPr>
            <w:tcW w:w="768" w:type="pct"/>
            <w:tcBorders>
              <w:top w:val="nil"/>
              <w:left w:val="nil"/>
              <w:bottom w:val="single" w:color="auto" w:sz="4" w:space="0"/>
              <w:right w:val="single" w:color="auto" w:sz="4" w:space="0"/>
            </w:tcBorders>
            <w:shd w:val="clear" w:color="auto" w:fill="auto"/>
            <w:noWrap/>
            <w:vAlign w:val="center"/>
          </w:tcPr>
          <w:p w14:paraId="0629BAC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&gt;1.2</w:t>
            </w:r>
          </w:p>
        </w:tc>
        <w:tc>
          <w:tcPr>
            <w:tcW w:w="801" w:type="pct"/>
            <w:tcBorders>
              <w:top w:val="nil"/>
              <w:left w:val="nil"/>
              <w:bottom w:val="single" w:color="auto" w:sz="4" w:space="0"/>
              <w:right w:val="single" w:color="auto" w:sz="4" w:space="0"/>
            </w:tcBorders>
            <w:shd w:val="clear" w:color="auto" w:fill="auto"/>
            <w:noWrap/>
            <w:vAlign w:val="center"/>
          </w:tcPr>
          <w:p w14:paraId="09EE555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1.0~1. 2</w:t>
            </w:r>
          </w:p>
        </w:tc>
        <w:tc>
          <w:tcPr>
            <w:tcW w:w="862" w:type="pct"/>
            <w:tcBorders>
              <w:top w:val="nil"/>
              <w:left w:val="nil"/>
              <w:bottom w:val="single" w:color="auto" w:sz="4" w:space="0"/>
              <w:right w:val="single" w:color="auto" w:sz="4" w:space="0"/>
            </w:tcBorders>
            <w:shd w:val="clear" w:color="auto" w:fill="auto"/>
            <w:noWrap/>
            <w:vAlign w:val="center"/>
          </w:tcPr>
          <w:p w14:paraId="174C61D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&lt;1.0</w:t>
            </w:r>
          </w:p>
        </w:tc>
      </w:tr>
      <w:tr w14:paraId="124C49B3">
        <w:tblPrEx>
          <w:tblCellMar>
            <w:top w:w="0" w:type="dxa"/>
            <w:left w:w="108" w:type="dxa"/>
            <w:bottom w:w="0" w:type="dxa"/>
            <w:right w:w="108" w:type="dxa"/>
          </w:tblCellMar>
        </w:tblPrEx>
        <w:trPr>
          <w:trHeight w:val="404" w:hRule="atLeast"/>
        </w:trPr>
        <w:tc>
          <w:tcPr>
            <w:tcW w:w="1281" w:type="pct"/>
            <w:vMerge w:val="continue"/>
            <w:tcBorders>
              <w:top w:val="nil"/>
              <w:left w:val="single" w:color="auto" w:sz="4" w:space="0"/>
              <w:bottom w:val="single" w:color="000000" w:sz="4" w:space="0"/>
              <w:right w:val="single" w:color="auto" w:sz="4" w:space="0"/>
            </w:tcBorders>
            <w:vAlign w:val="center"/>
          </w:tcPr>
          <w:p w14:paraId="37389C45">
            <w:pPr>
              <w:widowControl/>
              <w:jc w:val="left"/>
              <w:rPr>
                <w:rFonts w:ascii="Times New Roman" w:hAnsi="Times New Roman" w:eastAsia="仿宋" w:cs="Times New Roman"/>
                <w:color w:val="000000"/>
                <w:kern w:val="0"/>
                <w:sz w:val="24"/>
                <w:szCs w:val="24"/>
              </w:rPr>
            </w:pPr>
          </w:p>
        </w:tc>
        <w:tc>
          <w:tcPr>
            <w:tcW w:w="1288" w:type="pct"/>
            <w:tcBorders>
              <w:top w:val="nil"/>
              <w:left w:val="nil"/>
              <w:bottom w:val="single" w:color="auto" w:sz="4" w:space="0"/>
              <w:right w:val="single" w:color="auto" w:sz="4" w:space="0"/>
            </w:tcBorders>
            <w:shd w:val="clear" w:color="auto" w:fill="auto"/>
            <w:noWrap/>
            <w:vAlign w:val="center"/>
          </w:tcPr>
          <w:p w14:paraId="11CFD6FD">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菜地</w:t>
            </w:r>
          </w:p>
        </w:tc>
        <w:tc>
          <w:tcPr>
            <w:tcW w:w="768" w:type="pct"/>
            <w:tcBorders>
              <w:top w:val="nil"/>
              <w:left w:val="nil"/>
              <w:bottom w:val="single" w:color="auto" w:sz="4" w:space="0"/>
              <w:right w:val="single" w:color="auto" w:sz="4" w:space="0"/>
            </w:tcBorders>
            <w:shd w:val="clear" w:color="auto" w:fill="auto"/>
            <w:noWrap/>
            <w:vAlign w:val="center"/>
          </w:tcPr>
          <w:p w14:paraId="6D776C2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&gt;1.2</w:t>
            </w:r>
          </w:p>
        </w:tc>
        <w:tc>
          <w:tcPr>
            <w:tcW w:w="801" w:type="pct"/>
            <w:tcBorders>
              <w:top w:val="nil"/>
              <w:left w:val="nil"/>
              <w:bottom w:val="single" w:color="auto" w:sz="4" w:space="0"/>
              <w:right w:val="single" w:color="auto" w:sz="4" w:space="0"/>
            </w:tcBorders>
            <w:shd w:val="clear" w:color="auto" w:fill="auto"/>
            <w:noWrap/>
            <w:vAlign w:val="center"/>
          </w:tcPr>
          <w:p w14:paraId="197D99A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1.0~1.2</w:t>
            </w:r>
          </w:p>
        </w:tc>
        <w:tc>
          <w:tcPr>
            <w:tcW w:w="862" w:type="pct"/>
            <w:tcBorders>
              <w:top w:val="nil"/>
              <w:left w:val="nil"/>
              <w:bottom w:val="single" w:color="auto" w:sz="4" w:space="0"/>
              <w:right w:val="single" w:color="auto" w:sz="4" w:space="0"/>
            </w:tcBorders>
            <w:shd w:val="clear" w:color="auto" w:fill="auto"/>
            <w:noWrap/>
            <w:vAlign w:val="center"/>
          </w:tcPr>
          <w:p w14:paraId="027D0C44">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&lt;1.0</w:t>
            </w:r>
          </w:p>
        </w:tc>
      </w:tr>
      <w:tr w14:paraId="480DFA4A">
        <w:tblPrEx>
          <w:tblCellMar>
            <w:top w:w="0" w:type="dxa"/>
            <w:left w:w="108" w:type="dxa"/>
            <w:bottom w:w="0" w:type="dxa"/>
            <w:right w:w="108" w:type="dxa"/>
          </w:tblCellMar>
        </w:tblPrEx>
        <w:trPr>
          <w:trHeight w:val="404" w:hRule="atLeast"/>
        </w:trPr>
        <w:tc>
          <w:tcPr>
            <w:tcW w:w="1281" w:type="pct"/>
            <w:vMerge w:val="continue"/>
            <w:tcBorders>
              <w:top w:val="nil"/>
              <w:left w:val="single" w:color="auto" w:sz="4" w:space="0"/>
              <w:bottom w:val="single" w:color="000000" w:sz="4" w:space="0"/>
              <w:right w:val="single" w:color="auto" w:sz="4" w:space="0"/>
            </w:tcBorders>
            <w:vAlign w:val="center"/>
          </w:tcPr>
          <w:p w14:paraId="13B405F7">
            <w:pPr>
              <w:widowControl/>
              <w:jc w:val="left"/>
              <w:rPr>
                <w:rFonts w:ascii="Times New Roman" w:hAnsi="Times New Roman" w:eastAsia="仿宋" w:cs="Times New Roman"/>
                <w:color w:val="000000"/>
                <w:kern w:val="0"/>
                <w:sz w:val="24"/>
                <w:szCs w:val="24"/>
              </w:rPr>
            </w:pPr>
          </w:p>
        </w:tc>
        <w:tc>
          <w:tcPr>
            <w:tcW w:w="1288" w:type="pct"/>
            <w:tcBorders>
              <w:top w:val="nil"/>
              <w:left w:val="nil"/>
              <w:bottom w:val="single" w:color="auto" w:sz="4" w:space="0"/>
              <w:right w:val="single" w:color="auto" w:sz="4" w:space="0"/>
            </w:tcBorders>
            <w:shd w:val="clear" w:color="auto" w:fill="auto"/>
            <w:noWrap/>
            <w:vAlign w:val="center"/>
          </w:tcPr>
          <w:p w14:paraId="7C55861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果园</w:t>
            </w:r>
          </w:p>
        </w:tc>
        <w:tc>
          <w:tcPr>
            <w:tcW w:w="768" w:type="pct"/>
            <w:tcBorders>
              <w:top w:val="nil"/>
              <w:left w:val="nil"/>
              <w:bottom w:val="single" w:color="auto" w:sz="4" w:space="0"/>
              <w:right w:val="single" w:color="auto" w:sz="4" w:space="0"/>
            </w:tcBorders>
            <w:shd w:val="clear" w:color="auto" w:fill="auto"/>
            <w:noWrap/>
            <w:vAlign w:val="center"/>
          </w:tcPr>
          <w:p w14:paraId="7806AE8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&gt;1.0</w:t>
            </w:r>
          </w:p>
        </w:tc>
        <w:tc>
          <w:tcPr>
            <w:tcW w:w="801" w:type="pct"/>
            <w:tcBorders>
              <w:top w:val="nil"/>
              <w:left w:val="nil"/>
              <w:bottom w:val="single" w:color="auto" w:sz="4" w:space="0"/>
              <w:right w:val="single" w:color="auto" w:sz="4" w:space="0"/>
            </w:tcBorders>
            <w:shd w:val="clear" w:color="auto" w:fill="auto"/>
            <w:noWrap/>
            <w:vAlign w:val="center"/>
          </w:tcPr>
          <w:p w14:paraId="33630AB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0.8~1.0</w:t>
            </w:r>
          </w:p>
        </w:tc>
        <w:tc>
          <w:tcPr>
            <w:tcW w:w="862" w:type="pct"/>
            <w:tcBorders>
              <w:top w:val="nil"/>
              <w:left w:val="nil"/>
              <w:bottom w:val="single" w:color="auto" w:sz="4" w:space="0"/>
              <w:right w:val="single" w:color="auto" w:sz="4" w:space="0"/>
            </w:tcBorders>
            <w:shd w:val="clear" w:color="auto" w:fill="auto"/>
            <w:noWrap/>
            <w:vAlign w:val="center"/>
          </w:tcPr>
          <w:p w14:paraId="799E46C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&lt;0.8</w:t>
            </w:r>
          </w:p>
        </w:tc>
      </w:tr>
      <w:tr w14:paraId="2E33B9FC">
        <w:tblPrEx>
          <w:tblCellMar>
            <w:top w:w="0" w:type="dxa"/>
            <w:left w:w="108" w:type="dxa"/>
            <w:bottom w:w="0" w:type="dxa"/>
            <w:right w:w="108" w:type="dxa"/>
          </w:tblCellMar>
        </w:tblPrEx>
        <w:trPr>
          <w:trHeight w:val="404" w:hRule="atLeast"/>
        </w:trPr>
        <w:tc>
          <w:tcPr>
            <w:tcW w:w="2569"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B47B32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肥料供氮比例，%</w:t>
            </w:r>
          </w:p>
        </w:tc>
        <w:tc>
          <w:tcPr>
            <w:tcW w:w="768" w:type="pct"/>
            <w:tcBorders>
              <w:top w:val="nil"/>
              <w:left w:val="nil"/>
              <w:bottom w:val="single" w:color="auto" w:sz="4" w:space="0"/>
              <w:right w:val="single" w:color="auto" w:sz="4" w:space="0"/>
            </w:tcBorders>
            <w:shd w:val="clear" w:color="auto" w:fill="auto"/>
            <w:noWrap/>
            <w:vAlign w:val="center"/>
          </w:tcPr>
          <w:p w14:paraId="68B01FC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30-40</w:t>
            </w:r>
          </w:p>
        </w:tc>
        <w:tc>
          <w:tcPr>
            <w:tcW w:w="801" w:type="pct"/>
            <w:tcBorders>
              <w:top w:val="nil"/>
              <w:left w:val="nil"/>
              <w:bottom w:val="single" w:color="auto" w:sz="4" w:space="0"/>
              <w:right w:val="single" w:color="auto" w:sz="4" w:space="0"/>
            </w:tcBorders>
            <w:shd w:val="clear" w:color="auto" w:fill="auto"/>
            <w:noWrap/>
            <w:vAlign w:val="center"/>
          </w:tcPr>
          <w:p w14:paraId="47BFFBD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40-50</w:t>
            </w:r>
          </w:p>
        </w:tc>
        <w:tc>
          <w:tcPr>
            <w:tcW w:w="862" w:type="pct"/>
            <w:tcBorders>
              <w:top w:val="nil"/>
              <w:left w:val="nil"/>
              <w:bottom w:val="single" w:color="auto" w:sz="4" w:space="0"/>
              <w:right w:val="single" w:color="auto" w:sz="4" w:space="0"/>
            </w:tcBorders>
            <w:shd w:val="clear" w:color="auto" w:fill="auto"/>
            <w:noWrap/>
            <w:vAlign w:val="center"/>
          </w:tcPr>
          <w:p w14:paraId="2B2E670A">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50-60</w:t>
            </w:r>
          </w:p>
        </w:tc>
      </w:tr>
    </w:tbl>
    <w:p w14:paraId="1172B9BD">
      <w:pPr>
        <w:widowControl/>
        <w:spacing w:line="360" w:lineRule="auto"/>
        <w:ind w:firstLine="480" w:firstLineChars="200"/>
        <w:jc w:val="left"/>
        <w:rPr>
          <w:rFonts w:ascii="Times New Roman" w:hAnsi="Times New Roman" w:cs="Times New Roman"/>
          <w:snapToGrid w:val="0"/>
          <w:color w:val="000000"/>
          <w:kern w:val="0"/>
          <w:sz w:val="24"/>
          <w:szCs w:val="24"/>
        </w:rPr>
      </w:pPr>
    </w:p>
    <w:p w14:paraId="794C3C2F">
      <w:pPr>
        <w:widowControl/>
        <w:spacing w:line="360" w:lineRule="auto"/>
        <w:ind w:firstLine="480" w:firstLineChars="200"/>
        <w:jc w:val="left"/>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表5为</w:t>
      </w:r>
      <w:r>
        <w:rPr>
          <w:rFonts w:ascii="Times New Roman" w:hAnsi="Times New Roman" w:cs="Times New Roman"/>
          <w:snapToGrid w:val="0"/>
          <w:color w:val="000000"/>
          <w:kern w:val="0"/>
          <w:sz w:val="24"/>
          <w:szCs w:val="24"/>
        </w:rPr>
        <w:t>不同类型沼液含氮量参考值</w:t>
      </w:r>
      <w:r>
        <w:rPr>
          <w:rFonts w:hint="eastAsia" w:ascii="Times New Roman" w:hAnsi="Times New Roman" w:cs="Times New Roman"/>
          <w:snapToGrid w:val="0"/>
          <w:color w:val="000000"/>
          <w:kern w:val="0"/>
          <w:sz w:val="24"/>
          <w:szCs w:val="24"/>
        </w:rPr>
        <w:t>。我国各类畜禽粪污处置中厌氧发酵工艺差异较大，产生的沼液在农田利用前建议要进行养分指标的测试，方便下一步的施用量计算，本表所列数值为全国调研数值的平均值，可能与实际情况差异较大，操作中仅做参考。</w:t>
      </w:r>
    </w:p>
    <w:p w14:paraId="1D047AFE">
      <w:pPr>
        <w:jc w:val="center"/>
        <w:rPr>
          <w:rFonts w:ascii="黑体" w:hAnsi="黑体" w:eastAsia="黑体"/>
        </w:rPr>
      </w:pPr>
      <w:r>
        <w:rPr>
          <w:rFonts w:ascii="黑体" w:hAnsi="黑体" w:eastAsia="黑体"/>
        </w:rPr>
        <w:t>表5不同类型沼液含氮量参考值</w:t>
      </w:r>
    </w:p>
    <w:tbl>
      <w:tblPr>
        <w:tblStyle w:val="12"/>
        <w:tblW w:w="0" w:type="auto"/>
        <w:jc w:val="center"/>
        <w:tblLayout w:type="autofit"/>
        <w:tblCellMar>
          <w:top w:w="0" w:type="dxa"/>
          <w:left w:w="108" w:type="dxa"/>
          <w:bottom w:w="0" w:type="dxa"/>
          <w:right w:w="108" w:type="dxa"/>
        </w:tblCellMar>
      </w:tblPr>
      <w:tblGrid>
        <w:gridCol w:w="1616"/>
        <w:gridCol w:w="1416"/>
        <w:gridCol w:w="1416"/>
        <w:gridCol w:w="1176"/>
        <w:gridCol w:w="1176"/>
        <w:gridCol w:w="1176"/>
      </w:tblGrid>
      <w:tr w14:paraId="39919E6C">
        <w:tblPrEx>
          <w:tblCellMar>
            <w:top w:w="0" w:type="dxa"/>
            <w:left w:w="108" w:type="dxa"/>
            <w:bottom w:w="0" w:type="dxa"/>
            <w:right w:w="108" w:type="dxa"/>
          </w:tblCellMar>
        </w:tblPrEx>
        <w:trPr>
          <w:trHeight w:val="9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EF111A">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沼液类型</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1700071">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奶牛粪沼液</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0CDBB67">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肉牛粪沼液</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F9B3BC7">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猪粪沼液</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1512793">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鸡粪沼液</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167E38D">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秸秆沼液</w:t>
            </w:r>
          </w:p>
        </w:tc>
      </w:tr>
      <w:tr w14:paraId="1C661B5B">
        <w:tblPrEx>
          <w:tblCellMar>
            <w:top w:w="0" w:type="dxa"/>
            <w:left w:w="108" w:type="dxa"/>
            <w:bottom w:w="0" w:type="dxa"/>
            <w:right w:w="108" w:type="dxa"/>
          </w:tblCellMar>
        </w:tblPrEx>
        <w:trPr>
          <w:trHeight w:val="65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775500">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含氮量（%）</w:t>
            </w:r>
          </w:p>
        </w:tc>
        <w:tc>
          <w:tcPr>
            <w:tcW w:w="0" w:type="auto"/>
            <w:tcBorders>
              <w:top w:val="nil"/>
              <w:left w:val="nil"/>
              <w:bottom w:val="single" w:color="auto" w:sz="4" w:space="0"/>
              <w:right w:val="single" w:color="auto" w:sz="4" w:space="0"/>
            </w:tcBorders>
            <w:shd w:val="clear" w:color="auto" w:fill="auto"/>
            <w:noWrap/>
            <w:vAlign w:val="center"/>
          </w:tcPr>
          <w:p w14:paraId="5704AA94">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0.12</w:t>
            </w:r>
          </w:p>
        </w:tc>
        <w:tc>
          <w:tcPr>
            <w:tcW w:w="0" w:type="auto"/>
            <w:tcBorders>
              <w:top w:val="nil"/>
              <w:left w:val="nil"/>
              <w:bottom w:val="single" w:color="auto" w:sz="4" w:space="0"/>
              <w:right w:val="single" w:color="auto" w:sz="4" w:space="0"/>
            </w:tcBorders>
            <w:shd w:val="clear" w:color="auto" w:fill="auto"/>
            <w:noWrap/>
            <w:vAlign w:val="center"/>
          </w:tcPr>
          <w:p w14:paraId="6910D7D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0.09</w:t>
            </w:r>
          </w:p>
        </w:tc>
        <w:tc>
          <w:tcPr>
            <w:tcW w:w="0" w:type="auto"/>
            <w:tcBorders>
              <w:top w:val="nil"/>
              <w:left w:val="nil"/>
              <w:bottom w:val="single" w:color="auto" w:sz="4" w:space="0"/>
              <w:right w:val="single" w:color="auto" w:sz="4" w:space="0"/>
            </w:tcBorders>
            <w:shd w:val="clear" w:color="auto" w:fill="auto"/>
            <w:noWrap/>
            <w:vAlign w:val="center"/>
          </w:tcPr>
          <w:p w14:paraId="4635386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0.14</w:t>
            </w:r>
          </w:p>
        </w:tc>
        <w:tc>
          <w:tcPr>
            <w:tcW w:w="0" w:type="auto"/>
            <w:tcBorders>
              <w:top w:val="nil"/>
              <w:left w:val="nil"/>
              <w:bottom w:val="single" w:color="auto" w:sz="4" w:space="0"/>
              <w:right w:val="single" w:color="auto" w:sz="4" w:space="0"/>
            </w:tcBorders>
            <w:shd w:val="clear" w:color="auto" w:fill="auto"/>
            <w:noWrap/>
            <w:vAlign w:val="center"/>
          </w:tcPr>
          <w:p w14:paraId="02C1DDCE">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0.35</w:t>
            </w:r>
          </w:p>
        </w:tc>
        <w:tc>
          <w:tcPr>
            <w:tcW w:w="0" w:type="auto"/>
            <w:tcBorders>
              <w:top w:val="nil"/>
              <w:left w:val="nil"/>
              <w:bottom w:val="single" w:color="auto" w:sz="4" w:space="0"/>
              <w:right w:val="single" w:color="auto" w:sz="4" w:space="0"/>
            </w:tcBorders>
            <w:shd w:val="clear" w:color="auto" w:fill="auto"/>
            <w:noWrap/>
            <w:vAlign w:val="center"/>
          </w:tcPr>
          <w:p w14:paraId="6266CA2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0.06</w:t>
            </w:r>
          </w:p>
        </w:tc>
      </w:tr>
    </w:tbl>
    <w:p w14:paraId="14342CBB">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cs="Times New Roman"/>
          <w:snapToGrid w:val="0"/>
          <w:color w:val="000000"/>
          <w:kern w:val="0"/>
          <w:sz w:val="24"/>
          <w:szCs w:val="24"/>
        </w:rPr>
        <w:t>本标准中沼液用量的计算公式参照标准GB/T 25246 畜禽粪便还田技术规范。表3 主要农作物形成100 kg产量需要吸收氮量参考值参照NY/T 3877 畜禽粪便土地承载力测算方法，表4土壤不同氮肥力等级下肥料供给氮量占作物需氮量比例参考GB/T 25246，表5不同类型沼液含氮量参考值参照专著《沼液农田利用理论与实践》。</w:t>
      </w:r>
    </w:p>
    <w:p w14:paraId="30A4BE07">
      <w:pPr>
        <w:spacing w:before="156" w:beforeLines="50" w:after="156" w:afterLines="50" w:line="540" w:lineRule="exact"/>
        <w:outlineLvl w:val="0"/>
        <w:rPr>
          <w:rFonts w:eastAsia="黑体"/>
          <w:b/>
          <w:snapToGrid w:val="0"/>
          <w:color w:val="000000"/>
          <w:kern w:val="0"/>
          <w:sz w:val="24"/>
          <w:szCs w:val="24"/>
        </w:rPr>
      </w:pPr>
      <w:bookmarkStart w:id="18" w:name="_Toc212661033"/>
      <w:r>
        <w:rPr>
          <w:rFonts w:eastAsia="黑体"/>
          <w:b/>
          <w:snapToGrid w:val="0"/>
          <w:color w:val="000000"/>
          <w:kern w:val="0"/>
          <w:sz w:val="24"/>
          <w:szCs w:val="24"/>
        </w:rPr>
        <w:t>三、主要试验（或验证）的分析、综合报告，技术经济论证，预期的经济效果</w:t>
      </w:r>
      <w:bookmarkEnd w:id="18"/>
    </w:p>
    <w:p w14:paraId="3B1ADFF2">
      <w:pPr>
        <w:spacing w:line="360" w:lineRule="auto"/>
        <w:ind w:firstLine="482" w:firstLineChars="200"/>
        <w:outlineLvl w:val="1"/>
        <w:rPr>
          <w:rFonts w:eastAsia="楷体"/>
          <w:b/>
          <w:bCs/>
          <w:sz w:val="24"/>
          <w:szCs w:val="24"/>
        </w:rPr>
      </w:pPr>
      <w:bookmarkStart w:id="19" w:name="_Toc212661034"/>
      <w:r>
        <w:rPr>
          <w:rFonts w:eastAsia="楷体"/>
          <w:b/>
          <w:bCs/>
          <w:sz w:val="24"/>
          <w:szCs w:val="24"/>
        </w:rPr>
        <w:t>（一）主要试验或验证的分析</w:t>
      </w:r>
      <w:bookmarkEnd w:id="19"/>
    </w:p>
    <w:p w14:paraId="110E12BF">
      <w:pPr>
        <w:adjustRightInd w:val="0"/>
        <w:snapToGrid w:val="0"/>
        <w:spacing w:line="360" w:lineRule="auto"/>
        <w:ind w:firstLine="480" w:firstLineChars="200"/>
        <w:rPr>
          <w:rFonts w:ascii="Arial" w:hAnsi="Arial" w:eastAsia="宋体" w:cs="Arial"/>
          <w:color w:val="000000"/>
          <w:kern w:val="0"/>
          <w:sz w:val="24"/>
          <w:szCs w:val="24"/>
        </w:rPr>
      </w:pPr>
      <w:r>
        <w:rPr>
          <w:rFonts w:ascii="Arial" w:hAnsi="Arial" w:eastAsia="宋体" w:cs="Arial"/>
          <w:color w:val="000000"/>
          <w:kern w:val="0"/>
          <w:sz w:val="24"/>
          <w:szCs w:val="24"/>
        </w:rPr>
        <w:t>在本标准的基本内容确定后，在玉米</w:t>
      </w:r>
      <w:r>
        <w:rPr>
          <w:rFonts w:hint="eastAsia" w:ascii="Arial" w:hAnsi="Arial" w:eastAsia="宋体" w:cs="Arial"/>
          <w:color w:val="000000"/>
          <w:kern w:val="0"/>
          <w:sz w:val="24"/>
          <w:szCs w:val="24"/>
        </w:rPr>
        <w:t>粮田</w:t>
      </w:r>
      <w:r>
        <w:rPr>
          <w:rFonts w:ascii="Arial" w:hAnsi="Arial" w:eastAsia="宋体" w:cs="Arial"/>
          <w:color w:val="000000"/>
          <w:kern w:val="0"/>
          <w:sz w:val="24"/>
          <w:szCs w:val="24"/>
        </w:rPr>
        <w:t>和设施蔬菜中开展相关技术实践，现已完成相关试验内容</w:t>
      </w:r>
      <w:r>
        <w:rPr>
          <w:rFonts w:hint="eastAsia" w:ascii="Arial" w:hAnsi="Arial" w:eastAsia="宋体" w:cs="Arial"/>
          <w:color w:val="000000"/>
          <w:kern w:val="0"/>
          <w:sz w:val="24"/>
          <w:szCs w:val="24"/>
        </w:rPr>
        <w:t>，对规程中提出的以氮定量的施用量以及施用方式进行了验证。</w:t>
      </w:r>
    </w:p>
    <w:p w14:paraId="63F1D5F8">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1、沼液与化肥配施</w:t>
      </w:r>
    </w:p>
    <w:p w14:paraId="4FAA67DB">
      <w:pPr>
        <w:adjustRightInd w:val="0"/>
        <w:snapToGrid w:val="0"/>
        <w:spacing w:line="360" w:lineRule="auto"/>
        <w:ind w:firstLine="480" w:firstLineChars="200"/>
        <w:rPr>
          <w:rFonts w:ascii="Arial" w:hAnsi="Arial" w:eastAsia="宋体" w:cs="Arial"/>
          <w:color w:val="000000"/>
          <w:kern w:val="0"/>
          <w:sz w:val="24"/>
          <w:szCs w:val="24"/>
        </w:rPr>
      </w:pPr>
      <w:r>
        <w:rPr>
          <w:rFonts w:ascii="Times New Roman" w:hAnsi="Times New Roman" w:eastAsia="宋体" w:cs="Times New Roman"/>
          <w:color w:val="000000"/>
          <w:kern w:val="0"/>
          <w:sz w:val="24"/>
          <w:szCs w:val="24"/>
        </w:rPr>
        <w:t>通过用不同量沼液替代化肥进行秸秆还田技术研究，结果表明沼液与化肥配施增加了小麦秸秆腐解率，70%沼液氮+30%化肥氮是秸</w:t>
      </w:r>
      <w:r>
        <w:rPr>
          <w:rFonts w:hint="eastAsia" w:ascii="Arial" w:hAnsi="Arial" w:eastAsia="宋体" w:cs="Arial"/>
          <w:color w:val="000000"/>
          <w:kern w:val="0"/>
          <w:sz w:val="24"/>
          <w:szCs w:val="24"/>
        </w:rPr>
        <w:t>秆还田农田耕作的可操作施肥方式。</w:t>
      </w:r>
    </w:p>
    <w:p w14:paraId="575F1174">
      <w:pPr>
        <w:adjustRightInd w:val="0"/>
        <w:snapToGrid w:val="0"/>
        <w:spacing w:line="360" w:lineRule="auto"/>
        <w:ind w:firstLine="480" w:firstLineChars="200"/>
        <w:rPr>
          <w:rFonts w:ascii="Arial" w:hAnsi="Arial" w:eastAsia="宋体" w:cs="Arial"/>
          <w:color w:val="000000"/>
          <w:kern w:val="0"/>
          <w:sz w:val="24"/>
          <w:szCs w:val="24"/>
        </w:rPr>
      </w:pPr>
      <w:r>
        <w:rPr>
          <w:rFonts w:ascii="Arial" w:hAnsi="Arial" w:eastAsia="宋体" w:cs="Arial"/>
          <w:color w:val="000000"/>
          <w:kern w:val="0"/>
          <w:sz w:val="24"/>
          <w:szCs w:val="24"/>
        </w:rPr>
        <w:drawing>
          <wp:inline distT="0" distB="0" distL="0" distR="0">
            <wp:extent cx="4222115" cy="1751965"/>
            <wp:effectExtent l="0" t="0" r="698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22115" cy="1751965"/>
                    </a:xfrm>
                    <a:prstGeom prst="rect">
                      <a:avLst/>
                    </a:prstGeom>
                    <a:noFill/>
                  </pic:spPr>
                </pic:pic>
              </a:graphicData>
            </a:graphic>
          </wp:inline>
        </w:drawing>
      </w:r>
    </w:p>
    <w:p w14:paraId="752D6142">
      <w:pPr>
        <w:adjustRightInd w:val="0"/>
        <w:snapToGrid w:val="0"/>
        <w:spacing w:line="360" w:lineRule="auto"/>
        <w:jc w:val="center"/>
        <w:rPr>
          <w:rFonts w:asciiTheme="minorEastAsia" w:hAnsiTheme="minorEastAsia"/>
          <w:sz w:val="28"/>
          <w:szCs w:val="28"/>
        </w:rPr>
      </w:pPr>
      <w:r>
        <w:rPr>
          <w:rFonts w:hint="eastAsia" w:asciiTheme="minorEastAsia" w:hAnsiTheme="minorEastAsia"/>
        </w:rPr>
        <w:t>图</w:t>
      </w:r>
      <w:r>
        <w:rPr>
          <w:rFonts w:asciiTheme="minorEastAsia" w:hAnsiTheme="minorEastAsia"/>
        </w:rPr>
        <w:t>3</w:t>
      </w:r>
      <w:r>
        <w:rPr>
          <w:rFonts w:hint="eastAsia" w:asciiTheme="minorEastAsia" w:hAnsiTheme="minorEastAsia"/>
        </w:rPr>
        <w:t xml:space="preserve"> 不同沼液替代比例下玉米产量分析</w:t>
      </w:r>
    </w:p>
    <w:p w14:paraId="68F9242D">
      <w:pPr>
        <w:adjustRightInd w:val="0"/>
        <w:snapToGrid w:val="0"/>
        <w:spacing w:line="360" w:lineRule="auto"/>
        <w:ind w:firstLine="480" w:firstLineChars="200"/>
        <w:rPr>
          <w:rFonts w:ascii="Times New Roman" w:hAnsi="Times New Roman" w:eastAsia="PMingLiU" w:cs="Times New Roman"/>
          <w:sz w:val="24"/>
          <w:lang w:eastAsia="zh-TW"/>
        </w:rPr>
      </w:pPr>
      <w:r>
        <w:rPr>
          <w:rFonts w:ascii="Times New Roman" w:hAnsi="Times New Roman" w:eastAsia="宋体" w:cs="Times New Roman"/>
          <w:color w:val="000000"/>
          <w:kern w:val="0"/>
          <w:sz w:val="24"/>
          <w:szCs w:val="24"/>
        </w:rPr>
        <w:t>2</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沼液完全替代化肥</w:t>
      </w:r>
    </w:p>
    <w:p w14:paraId="38EDAE49">
      <w:pPr>
        <w:adjustRightInd w:val="0"/>
        <w:snapToGrid w:val="0"/>
        <w:spacing w:line="360" w:lineRule="auto"/>
        <w:ind w:firstLine="480" w:firstLineChars="200"/>
        <w:rPr>
          <w:rFonts w:ascii="Times New Roman" w:hAnsi="Times New Roman" w:eastAsia="PMingLiU" w:cs="Times New Roman"/>
          <w:sz w:val="24"/>
          <w:lang w:eastAsia="zh-TW"/>
        </w:rPr>
      </w:pPr>
      <w:r>
        <w:rPr>
          <w:rFonts w:ascii="Times New Roman" w:hAnsi="Times New Roman" w:cs="Times New Roman"/>
          <w:sz w:val="24"/>
          <w:lang w:eastAsia="zh-TW"/>
        </w:rPr>
        <w:t>玉米产量</w:t>
      </w:r>
      <w:r>
        <w:rPr>
          <w:rFonts w:ascii="Times New Roman" w:hAnsi="Times New Roman" w:cs="Times New Roman"/>
          <w:sz w:val="24"/>
        </w:rPr>
        <w:t>。</w:t>
      </w:r>
      <w:r>
        <w:rPr>
          <w:rFonts w:ascii="Times New Roman" w:hAnsi="Times New Roman" w:cs="Times New Roman"/>
          <w:sz w:val="24"/>
          <w:lang w:eastAsia="zh-TW"/>
        </w:rPr>
        <w:t>在沼液氮素全部替代化肥的情况下</w:t>
      </w:r>
      <w:r>
        <w:rPr>
          <w:rFonts w:ascii="Times New Roman" w:hAnsi="Times New Roman" w:cs="Times New Roman"/>
          <w:sz w:val="24"/>
        </w:rPr>
        <w:t>，</w:t>
      </w:r>
      <w:r>
        <w:rPr>
          <w:rFonts w:ascii="Times New Roman" w:hAnsi="Times New Roman" w:cs="Times New Roman"/>
          <w:sz w:val="24"/>
          <w:lang w:eastAsia="zh-TW"/>
        </w:rPr>
        <w:t>如图4所示，随着施肥量的增加</w:t>
      </w:r>
      <w:bookmarkStart w:id="20" w:name="_Hlk99976718"/>
      <w:r>
        <w:rPr>
          <w:rFonts w:ascii="Times New Roman" w:hAnsi="Times New Roman" w:cs="Times New Roman"/>
          <w:sz w:val="24"/>
          <w:lang w:eastAsia="zh-TW"/>
        </w:rPr>
        <w:t>玉米籽粒产量</w:t>
      </w:r>
      <w:bookmarkEnd w:id="20"/>
      <w:r>
        <w:rPr>
          <w:rFonts w:ascii="Times New Roman" w:hAnsi="Times New Roman" w:cs="Times New Roman"/>
          <w:sz w:val="24"/>
          <w:lang w:eastAsia="zh-TW"/>
        </w:rPr>
        <w:t>越高；其中240kg/ha N的沼液和同氮量化肥处理之间无</w:t>
      </w:r>
      <w:r>
        <w:rPr>
          <w:rFonts w:ascii="Times New Roman" w:hAnsi="Times New Roman" w:cs="Times New Roman"/>
          <w:sz w:val="24"/>
        </w:rPr>
        <w:t>显著</w:t>
      </w:r>
      <w:r>
        <w:rPr>
          <w:rFonts w:ascii="Times New Roman" w:hAnsi="Times New Roman" w:cs="Times New Roman"/>
          <w:sz w:val="24"/>
          <w:lang w:eastAsia="zh-TW"/>
        </w:rPr>
        <w:t>差异；合理施用沼液</w:t>
      </w:r>
      <w:r>
        <w:rPr>
          <w:rFonts w:ascii="Times New Roman" w:hAnsi="Times New Roman" w:cs="Times New Roman"/>
          <w:sz w:val="24"/>
        </w:rPr>
        <w:t>可以</w:t>
      </w:r>
      <w:r>
        <w:rPr>
          <w:rFonts w:ascii="Times New Roman" w:hAnsi="Times New Roman" w:cs="Times New Roman"/>
          <w:sz w:val="24"/>
          <w:lang w:eastAsia="zh-TW"/>
        </w:rPr>
        <w:t>提升玉米产量</w:t>
      </w:r>
      <w:r>
        <w:rPr>
          <w:rFonts w:ascii="Times New Roman" w:hAnsi="Times New Roman" w:cs="Times New Roman"/>
          <w:sz w:val="24"/>
        </w:rPr>
        <w:t>，但与等氮量的化肥处理没有显著性差异，沼液养分与化肥氮素等效</w:t>
      </w:r>
      <w:r>
        <w:rPr>
          <w:rFonts w:ascii="Times New Roman" w:hAnsi="Times New Roman" w:cs="Times New Roman"/>
          <w:sz w:val="24"/>
          <w:lang w:eastAsia="zh-TW"/>
        </w:rPr>
        <w:t>。</w:t>
      </w:r>
    </w:p>
    <w:p w14:paraId="1143FB7E">
      <w:pPr>
        <w:snapToGrid w:val="0"/>
        <w:spacing w:line="360" w:lineRule="auto"/>
        <w:jc w:val="center"/>
        <w:rPr>
          <w:rFonts w:ascii="宋体" w:hAnsi="宋体" w:eastAsia="PMingLiU" w:cs="宋体"/>
          <w:sz w:val="24"/>
          <w:lang w:val="zh-TW" w:eastAsia="zh-TW"/>
        </w:rPr>
      </w:pPr>
      <w:r>
        <w:rPr>
          <w:rFonts w:ascii="宋体" w:hAnsi="宋体" w:eastAsia="PMingLiU" w:cs="宋体"/>
          <w:sz w:val="24"/>
        </w:rPr>
        <w:drawing>
          <wp:inline distT="0" distB="0" distL="0" distR="0">
            <wp:extent cx="3585845" cy="25330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b="7938"/>
                    <a:stretch>
                      <a:fillRect/>
                    </a:stretch>
                  </pic:blipFill>
                  <pic:spPr>
                    <a:xfrm>
                      <a:off x="0" y="0"/>
                      <a:ext cx="3588062" cy="2534711"/>
                    </a:xfrm>
                    <a:prstGeom prst="rect">
                      <a:avLst/>
                    </a:prstGeom>
                    <a:noFill/>
                    <a:ln>
                      <a:noFill/>
                    </a:ln>
                  </pic:spPr>
                </pic:pic>
              </a:graphicData>
            </a:graphic>
          </wp:inline>
        </w:drawing>
      </w:r>
    </w:p>
    <w:p w14:paraId="7813C37F">
      <w:pPr>
        <w:snapToGrid w:val="0"/>
        <w:spacing w:line="360" w:lineRule="auto"/>
        <w:jc w:val="center"/>
        <w:rPr>
          <w:rFonts w:ascii="宋体" w:hAnsi="宋体" w:cs="宋体"/>
          <w:sz w:val="22"/>
          <w:lang w:val="zh-TW"/>
        </w:rPr>
      </w:pPr>
      <w:r>
        <w:rPr>
          <w:rFonts w:hint="eastAsia" w:ascii="宋体" w:hAnsi="宋体" w:cs="宋体"/>
          <w:sz w:val="22"/>
          <w:lang w:val="zh-TW"/>
        </w:rPr>
        <w:t>图</w:t>
      </w:r>
      <w:r>
        <w:rPr>
          <w:rFonts w:ascii="宋体" w:hAnsi="宋体" w:eastAsia="PMingLiU" w:cs="宋体"/>
          <w:sz w:val="22"/>
          <w:lang w:val="zh-TW" w:eastAsia="zh-TW"/>
        </w:rPr>
        <w:t>4</w:t>
      </w:r>
      <w:r>
        <w:rPr>
          <w:rFonts w:hint="eastAsia" w:ascii="宋体" w:hAnsi="宋体" w:cs="宋体"/>
          <w:sz w:val="22"/>
          <w:lang w:val="zh-TW"/>
        </w:rPr>
        <w:t xml:space="preserve"> 不同施肥处理下玉米产量</w:t>
      </w:r>
    </w:p>
    <w:p w14:paraId="293FDE38">
      <w:pPr>
        <w:adjustRightInd w:val="0"/>
        <w:snapToGrid w:val="0"/>
        <w:spacing w:line="360" w:lineRule="auto"/>
        <w:ind w:firstLine="480" w:firstLineChars="200"/>
        <w:rPr>
          <w:rFonts w:ascii="Times New Roman" w:hAnsi="Times New Roman" w:cs="Times New Roman"/>
          <w:sz w:val="24"/>
          <w:lang w:eastAsia="zh-TW"/>
        </w:rPr>
      </w:pPr>
      <w:bookmarkStart w:id="21" w:name="_Toc104123829"/>
      <w:r>
        <w:rPr>
          <w:rFonts w:ascii="Times New Roman" w:hAnsi="Times New Roman" w:cs="Times New Roman"/>
          <w:sz w:val="24"/>
          <w:lang w:eastAsia="zh-TW"/>
        </w:rPr>
        <w:t>和产量类似</w:t>
      </w:r>
      <w:r>
        <w:rPr>
          <w:rFonts w:ascii="Times New Roman" w:hAnsi="Times New Roman" w:cs="Times New Roman"/>
          <w:sz w:val="24"/>
        </w:rPr>
        <w:t>，</w:t>
      </w:r>
      <w:r>
        <w:rPr>
          <w:rFonts w:ascii="Times New Roman" w:hAnsi="Times New Roman" w:cs="Times New Roman"/>
          <w:sz w:val="24"/>
          <w:lang w:eastAsia="zh-TW"/>
        </w:rPr>
        <w:t>玉米生物量</w:t>
      </w:r>
      <w:bookmarkEnd w:id="21"/>
      <w:r>
        <w:rPr>
          <w:rFonts w:ascii="Times New Roman" w:hAnsi="Times New Roman" w:cs="Times New Roman"/>
          <w:sz w:val="24"/>
          <w:lang w:eastAsia="zh-TW"/>
        </w:rPr>
        <w:t>图5所示，施用沼液有机肥的量越大，玉米的生物量越高；其中240kg/ha N的沼液和同氮量化肥处理之间无显著差异；施用沼液有机肥生物量最大的</w:t>
      </w:r>
      <w:r>
        <w:rPr>
          <w:rFonts w:ascii="Times New Roman" w:hAnsi="Times New Roman" w:cs="Times New Roman"/>
          <w:sz w:val="24"/>
        </w:rPr>
        <w:t>T</w:t>
      </w:r>
      <w:r>
        <w:rPr>
          <w:rFonts w:ascii="Times New Roman" w:hAnsi="Times New Roman" w:cs="Times New Roman"/>
          <w:sz w:val="24"/>
          <w:lang w:eastAsia="zh-TW"/>
        </w:rPr>
        <w:t>4处理和通氮量240kg/ha N的</w:t>
      </w:r>
      <w:r>
        <w:rPr>
          <w:rFonts w:ascii="Times New Roman" w:hAnsi="Times New Roman" w:cs="Times New Roman"/>
          <w:sz w:val="24"/>
        </w:rPr>
        <w:t>T</w:t>
      </w:r>
      <w:r>
        <w:rPr>
          <w:rFonts w:ascii="Times New Roman" w:hAnsi="Times New Roman" w:cs="Times New Roman"/>
          <w:sz w:val="24"/>
          <w:lang w:eastAsia="zh-TW"/>
        </w:rPr>
        <w:t>5处理玉米生物量没有显著性差异</w:t>
      </w:r>
      <w:r>
        <w:rPr>
          <w:rFonts w:ascii="Times New Roman" w:hAnsi="Times New Roman" w:cs="Times New Roman"/>
          <w:sz w:val="24"/>
        </w:rPr>
        <w:t>。</w:t>
      </w:r>
    </w:p>
    <w:p w14:paraId="123CC038">
      <w:pPr>
        <w:snapToGrid w:val="0"/>
        <w:spacing w:line="360" w:lineRule="auto"/>
        <w:jc w:val="center"/>
        <w:rPr>
          <w:rFonts w:ascii="宋体" w:hAnsi="宋体" w:eastAsia="PMingLiU"/>
          <w:sz w:val="24"/>
          <w:lang w:eastAsia="zh-TW"/>
        </w:rPr>
      </w:pPr>
      <w:r>
        <w:rPr>
          <w:rFonts w:hint="eastAsia" w:ascii="宋体" w:hAnsi="宋体" w:eastAsia="PMingLiU"/>
          <w:sz w:val="24"/>
        </w:rPr>
        <w:drawing>
          <wp:inline distT="0" distB="0" distL="0" distR="0">
            <wp:extent cx="2973705" cy="20834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b="8692"/>
                    <a:stretch>
                      <a:fillRect/>
                    </a:stretch>
                  </pic:blipFill>
                  <pic:spPr>
                    <a:xfrm>
                      <a:off x="0" y="0"/>
                      <a:ext cx="2978234" cy="2086675"/>
                    </a:xfrm>
                    <a:prstGeom prst="rect">
                      <a:avLst/>
                    </a:prstGeom>
                    <a:noFill/>
                    <a:ln>
                      <a:noFill/>
                    </a:ln>
                  </pic:spPr>
                </pic:pic>
              </a:graphicData>
            </a:graphic>
          </wp:inline>
        </w:drawing>
      </w:r>
    </w:p>
    <w:p w14:paraId="3FA6EED3">
      <w:pPr>
        <w:adjustRightInd w:val="0"/>
        <w:snapToGrid w:val="0"/>
        <w:spacing w:line="360" w:lineRule="auto"/>
        <w:ind w:firstLine="440" w:firstLineChars="200"/>
        <w:jc w:val="center"/>
        <w:rPr>
          <w:rFonts w:ascii="宋体" w:hAnsi="宋体" w:cs="宋体"/>
          <w:sz w:val="22"/>
          <w:lang w:val="zh-TW"/>
        </w:rPr>
      </w:pPr>
      <w:r>
        <w:rPr>
          <w:rFonts w:hint="eastAsia" w:ascii="宋体" w:hAnsi="宋体" w:cs="宋体"/>
          <w:sz w:val="22"/>
          <w:lang w:val="zh-TW"/>
        </w:rPr>
        <w:t>图</w:t>
      </w:r>
      <w:r>
        <w:rPr>
          <w:rFonts w:ascii="宋体" w:hAnsi="宋体" w:eastAsia="PMingLiU" w:cs="宋体"/>
          <w:sz w:val="22"/>
          <w:lang w:val="zh-TW" w:eastAsia="zh-TW"/>
        </w:rPr>
        <w:t>5</w:t>
      </w:r>
      <w:r>
        <w:rPr>
          <w:rFonts w:hint="eastAsia" w:ascii="宋体" w:hAnsi="宋体" w:cs="宋体"/>
          <w:sz w:val="22"/>
          <w:lang w:val="zh-TW"/>
        </w:rPr>
        <w:t xml:space="preserve"> 不同施肥处理下玉米生物量</w:t>
      </w:r>
    </w:p>
    <w:p w14:paraId="0224DD43">
      <w:pPr>
        <w:spacing w:line="360" w:lineRule="auto"/>
        <w:ind w:firstLine="482" w:firstLineChars="200"/>
        <w:outlineLvl w:val="1"/>
        <w:rPr>
          <w:rFonts w:ascii="楷体" w:hAnsi="楷体" w:eastAsia="楷体"/>
          <w:b/>
          <w:bCs/>
          <w:sz w:val="24"/>
          <w:szCs w:val="24"/>
        </w:rPr>
      </w:pPr>
      <w:r>
        <w:rPr>
          <w:rFonts w:hint="eastAsia" w:eastAsia="楷体"/>
          <w:b/>
          <w:bCs/>
          <w:sz w:val="24"/>
          <w:szCs w:val="24"/>
        </w:rPr>
        <w:t>（二）预期的经济效益、社会效益和生态效益</w:t>
      </w:r>
    </w:p>
    <w:p w14:paraId="5B490730">
      <w:pPr>
        <w:adjustRightInd w:val="0"/>
        <w:snapToGrid w:val="0"/>
        <w:spacing w:line="360" w:lineRule="auto"/>
        <w:ind w:firstLine="480" w:firstLineChars="200"/>
        <w:jc w:val="left"/>
        <w:rPr>
          <w:rFonts w:ascii="Times New Roman" w:hAnsi="Times New Roman" w:eastAsia="PMingLiU" w:cs="Times New Roman"/>
          <w:sz w:val="24"/>
          <w:lang w:eastAsia="zh-TW"/>
        </w:rPr>
      </w:pPr>
      <w:r>
        <w:rPr>
          <w:rFonts w:ascii="Times New Roman" w:hAnsi="Times New Roman" w:cs="Times New Roman"/>
          <w:sz w:val="24"/>
          <w:lang w:eastAsia="zh-TW"/>
        </w:rPr>
        <w:t>当前全国每年产生沼液约4亿方，给农业生态环境造成了较高的面源污染风险和大量的资源浪费，其中一项重要内容是对于当前沼液的施用存在不合理和无技术支撑的现状。本标准的实施将对于沼液在农田对接各类灌溉设施，合理推进沼液的消纳，在减少COD排放、BOD排放、节水、降低化肥用量、增产等方面具有巨大的经济、社会和生态效益。</w:t>
      </w:r>
    </w:p>
    <w:p w14:paraId="3E825C6E">
      <w:pPr>
        <w:spacing w:before="156" w:beforeLines="50" w:after="156" w:afterLines="50" w:line="540" w:lineRule="exact"/>
        <w:outlineLvl w:val="0"/>
        <w:rPr>
          <w:rFonts w:eastAsia="黑体"/>
          <w:b/>
          <w:snapToGrid w:val="0"/>
          <w:color w:val="000000"/>
          <w:kern w:val="0"/>
          <w:sz w:val="24"/>
          <w:szCs w:val="24"/>
        </w:rPr>
      </w:pPr>
      <w:bookmarkStart w:id="22" w:name="_Toc183101840"/>
      <w:bookmarkStart w:id="23" w:name="_Toc212661040"/>
      <w:bookmarkStart w:id="24" w:name="_Toc183101606"/>
      <w:r>
        <w:rPr>
          <w:rFonts w:hint="eastAsia" w:eastAsia="黑体"/>
          <w:b/>
          <w:snapToGrid w:val="0"/>
          <w:color w:val="000000"/>
          <w:kern w:val="0"/>
          <w:sz w:val="24"/>
          <w:szCs w:val="24"/>
        </w:rPr>
        <w:t>四</w:t>
      </w:r>
      <w:r>
        <w:rPr>
          <w:rFonts w:eastAsia="黑体"/>
          <w:b/>
          <w:snapToGrid w:val="0"/>
          <w:color w:val="000000"/>
          <w:kern w:val="0"/>
          <w:sz w:val="24"/>
          <w:szCs w:val="24"/>
        </w:rPr>
        <w:t>、</w:t>
      </w:r>
      <w:r>
        <w:rPr>
          <w:rFonts w:hint="eastAsia" w:eastAsia="黑体"/>
          <w:b/>
          <w:snapToGrid w:val="0"/>
          <w:color w:val="000000"/>
          <w:kern w:val="0"/>
          <w:sz w:val="24"/>
          <w:szCs w:val="24"/>
        </w:rPr>
        <w:t>与国际、国外同类标准技术内容的对比情况，或者与测试的国外样品、样机的有关数据对比情况</w:t>
      </w:r>
      <w:bookmarkEnd w:id="22"/>
      <w:bookmarkEnd w:id="23"/>
      <w:bookmarkEnd w:id="24"/>
    </w:p>
    <w:p w14:paraId="2A20AEFF">
      <w:pPr>
        <w:ind w:firstLine="480"/>
        <w:rPr>
          <w:snapToGrid w:val="0"/>
          <w:sz w:val="24"/>
          <w:szCs w:val="28"/>
        </w:rPr>
      </w:pPr>
      <w:r>
        <w:rPr>
          <w:rFonts w:hint="eastAsia"/>
          <w:snapToGrid w:val="0"/>
          <w:sz w:val="24"/>
          <w:szCs w:val="28"/>
        </w:rPr>
        <w:t>无。</w:t>
      </w:r>
    </w:p>
    <w:p w14:paraId="42E6279B">
      <w:pPr>
        <w:spacing w:before="156" w:beforeLines="50" w:after="156" w:afterLines="50" w:line="540" w:lineRule="exact"/>
        <w:outlineLvl w:val="0"/>
        <w:rPr>
          <w:rFonts w:eastAsia="黑体"/>
          <w:b/>
          <w:snapToGrid w:val="0"/>
          <w:color w:val="000000"/>
          <w:kern w:val="0"/>
          <w:sz w:val="24"/>
          <w:szCs w:val="24"/>
        </w:rPr>
      </w:pPr>
      <w:bookmarkStart w:id="25" w:name="_Toc212661041"/>
      <w:bookmarkStart w:id="26" w:name="_Toc183101841"/>
      <w:bookmarkStart w:id="27" w:name="_Toc183101607"/>
      <w:r>
        <w:rPr>
          <w:rFonts w:eastAsia="黑体"/>
          <w:b/>
          <w:snapToGrid w:val="0"/>
          <w:color w:val="000000"/>
          <w:kern w:val="0"/>
          <w:sz w:val="24"/>
          <w:szCs w:val="24"/>
        </w:rPr>
        <w:t>五、</w:t>
      </w:r>
      <w:r>
        <w:rPr>
          <w:rFonts w:hint="eastAsia" w:eastAsia="黑体"/>
          <w:b/>
          <w:snapToGrid w:val="0"/>
          <w:color w:val="000000"/>
          <w:kern w:val="0"/>
          <w:sz w:val="24"/>
          <w:szCs w:val="24"/>
        </w:rPr>
        <w:t>以国际标准为基础的起草情况，以及是否合规引用或者采用国际国外标准，并说明未采用国际标准的原因</w:t>
      </w:r>
      <w:bookmarkEnd w:id="25"/>
      <w:bookmarkEnd w:id="26"/>
      <w:bookmarkEnd w:id="27"/>
    </w:p>
    <w:p w14:paraId="128A3D47">
      <w:pPr>
        <w:ind w:firstLine="480"/>
        <w:rPr>
          <w:snapToGrid w:val="0"/>
          <w:sz w:val="24"/>
          <w:szCs w:val="28"/>
        </w:rPr>
      </w:pPr>
      <w:r>
        <w:rPr>
          <w:rFonts w:hint="eastAsia"/>
          <w:snapToGrid w:val="0"/>
          <w:sz w:val="24"/>
          <w:szCs w:val="28"/>
        </w:rPr>
        <w:t>无。</w:t>
      </w:r>
    </w:p>
    <w:p w14:paraId="5C5D89B5">
      <w:pPr>
        <w:spacing w:before="156" w:beforeLines="50" w:after="156" w:afterLines="50" w:line="540" w:lineRule="exact"/>
        <w:outlineLvl w:val="0"/>
        <w:rPr>
          <w:rFonts w:eastAsia="黑体"/>
          <w:b/>
          <w:snapToGrid w:val="0"/>
          <w:color w:val="000000"/>
          <w:kern w:val="0"/>
          <w:sz w:val="24"/>
          <w:szCs w:val="24"/>
        </w:rPr>
      </w:pPr>
      <w:bookmarkStart w:id="28" w:name="_Toc212661042"/>
      <w:r>
        <w:rPr>
          <w:rFonts w:hint="eastAsia" w:eastAsia="黑体"/>
          <w:b/>
          <w:snapToGrid w:val="0"/>
          <w:color w:val="000000"/>
          <w:kern w:val="0"/>
          <w:sz w:val="24"/>
          <w:szCs w:val="24"/>
        </w:rPr>
        <w:t>六</w:t>
      </w:r>
      <w:r>
        <w:rPr>
          <w:rFonts w:eastAsia="黑体"/>
          <w:b/>
          <w:snapToGrid w:val="0"/>
          <w:color w:val="000000"/>
          <w:kern w:val="0"/>
          <w:sz w:val="24"/>
          <w:szCs w:val="24"/>
        </w:rPr>
        <w:t>、与有关的现行法律、法规和强制性标准的关系</w:t>
      </w:r>
      <w:bookmarkEnd w:id="28"/>
    </w:p>
    <w:p w14:paraId="0B78D872">
      <w:pPr>
        <w:widowControl/>
        <w:spacing w:line="36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本标准与现行国家标准、行业标准高度协调，无冲突、无矛盾，且是对现有标准的细化和延伸：</w:t>
      </w:r>
    </w:p>
    <w:p w14:paraId="36145246">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 直接引用 GB/T 40750《农用沼液》的术语定义并结合还田实际修改，明确了沼液还田的原料和产品要求，是对农用沼液产品标准的应用和延伸；</w:t>
      </w:r>
    </w:p>
    <w:p w14:paraId="44A51E7F">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 沼液质量检测、灌溉用水、粪肥混合施用等要求分别参照 GB 5084、GB 7959、GB/T 25246 等标准，确保技术指标与现有水质、肥料、无害化处理标准一致；</w:t>
      </w:r>
    </w:p>
    <w:p w14:paraId="0D8FCA87">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 沼液滴灌、储存池设施等要求分别参考 NY/T 4814、HJ497-2009 等行业标准，衔接了沼液施用设备和污染治理工程的技术要求。</w:t>
      </w:r>
    </w:p>
    <w:p w14:paraId="60594F18">
      <w:pPr>
        <w:spacing w:line="360" w:lineRule="auto"/>
        <w:ind w:firstLine="480" w:firstLineChars="200"/>
        <w:rPr>
          <w:snapToGrid w:val="0"/>
          <w:color w:val="000000"/>
          <w:kern w:val="0"/>
          <w:sz w:val="24"/>
        </w:rPr>
      </w:pPr>
      <w:r>
        <w:rPr>
          <w:rFonts w:ascii="Times New Roman" w:hAnsi="Times New Roman" w:eastAsia="宋体" w:cs="Times New Roman"/>
          <w:color w:val="000000"/>
          <w:kern w:val="0"/>
          <w:sz w:val="24"/>
          <w:szCs w:val="24"/>
        </w:rPr>
        <w:t>4. 同时，本标准填补了现有标准在沼液还田</w:t>
      </w:r>
      <w:r>
        <w:rPr>
          <w:rFonts w:ascii="Times New Roman" w:hAnsi="Times New Roman" w:eastAsia="宋体" w:cs="Times New Roman"/>
          <w:bCs/>
          <w:color w:val="000000"/>
          <w:kern w:val="0"/>
          <w:sz w:val="24"/>
          <w:szCs w:val="24"/>
        </w:rPr>
        <w:t>施用量测算、差异化施用、运输储存细节</w:t>
      </w:r>
      <w:r>
        <w:rPr>
          <w:rFonts w:ascii="Times New Roman" w:hAnsi="Times New Roman" w:eastAsia="宋体" w:cs="Times New Roman"/>
          <w:color w:val="000000"/>
          <w:kern w:val="0"/>
          <w:sz w:val="24"/>
          <w:szCs w:val="24"/>
        </w:rPr>
        <w:t>等方面的空白，完善了农业有机废弃物资源化利用的标准体系。</w:t>
      </w:r>
    </w:p>
    <w:p w14:paraId="5D3C3272">
      <w:pPr>
        <w:spacing w:before="156" w:beforeLines="50" w:after="156" w:afterLines="50" w:line="540" w:lineRule="exact"/>
        <w:outlineLvl w:val="0"/>
        <w:rPr>
          <w:rFonts w:eastAsia="黑体"/>
          <w:b/>
          <w:snapToGrid w:val="0"/>
          <w:color w:val="000000"/>
          <w:kern w:val="0"/>
          <w:sz w:val="24"/>
          <w:szCs w:val="24"/>
        </w:rPr>
      </w:pPr>
      <w:bookmarkStart w:id="29" w:name="_Toc212661043"/>
      <w:r>
        <w:rPr>
          <w:rFonts w:hint="eastAsia" w:eastAsia="黑体"/>
          <w:b/>
          <w:snapToGrid w:val="0"/>
          <w:color w:val="000000"/>
          <w:kern w:val="0"/>
          <w:sz w:val="24"/>
          <w:szCs w:val="24"/>
        </w:rPr>
        <w:t>七</w:t>
      </w:r>
      <w:r>
        <w:rPr>
          <w:rFonts w:eastAsia="黑体"/>
          <w:b/>
          <w:snapToGrid w:val="0"/>
          <w:color w:val="000000"/>
          <w:kern w:val="0"/>
          <w:sz w:val="24"/>
          <w:szCs w:val="24"/>
        </w:rPr>
        <w:t>、重大分歧意见的处理经过和依据</w:t>
      </w:r>
      <w:bookmarkEnd w:id="29"/>
    </w:p>
    <w:p w14:paraId="69681A60">
      <w:pPr>
        <w:spacing w:line="360" w:lineRule="auto"/>
        <w:ind w:firstLine="480" w:firstLineChars="200"/>
        <w:rPr>
          <w:snapToGrid w:val="0"/>
          <w:color w:val="000000"/>
          <w:kern w:val="0"/>
          <w:sz w:val="24"/>
          <w:szCs w:val="24"/>
        </w:rPr>
      </w:pPr>
      <w:r>
        <w:rPr>
          <w:snapToGrid w:val="0"/>
          <w:color w:val="000000"/>
          <w:kern w:val="0"/>
          <w:sz w:val="24"/>
          <w:szCs w:val="24"/>
        </w:rPr>
        <w:t>无</w:t>
      </w:r>
      <w:r>
        <w:rPr>
          <w:rFonts w:hint="eastAsia"/>
          <w:snapToGrid w:val="0"/>
          <w:color w:val="000000"/>
          <w:kern w:val="0"/>
          <w:sz w:val="24"/>
          <w:szCs w:val="24"/>
        </w:rPr>
        <w:t>。</w:t>
      </w:r>
    </w:p>
    <w:p w14:paraId="59C8C258">
      <w:pPr>
        <w:spacing w:before="156" w:beforeLines="50" w:after="156" w:afterLines="50" w:line="540" w:lineRule="exact"/>
        <w:outlineLvl w:val="0"/>
        <w:rPr>
          <w:rFonts w:eastAsia="黑体"/>
          <w:b/>
          <w:snapToGrid w:val="0"/>
          <w:color w:val="000000"/>
          <w:kern w:val="0"/>
          <w:sz w:val="24"/>
          <w:szCs w:val="24"/>
        </w:rPr>
      </w:pPr>
      <w:bookmarkStart w:id="30" w:name="_Toc212661044"/>
      <w:r>
        <w:rPr>
          <w:rFonts w:hint="eastAsia" w:eastAsia="黑体"/>
          <w:b/>
          <w:snapToGrid w:val="0"/>
          <w:color w:val="000000"/>
          <w:kern w:val="0"/>
          <w:sz w:val="24"/>
          <w:szCs w:val="24"/>
        </w:rPr>
        <w:t>八</w:t>
      </w:r>
      <w:r>
        <w:rPr>
          <w:rFonts w:eastAsia="黑体"/>
          <w:b/>
          <w:snapToGrid w:val="0"/>
          <w:color w:val="000000"/>
          <w:kern w:val="0"/>
          <w:sz w:val="24"/>
          <w:szCs w:val="24"/>
        </w:rPr>
        <w:t>、</w:t>
      </w:r>
      <w:r>
        <w:rPr>
          <w:rFonts w:hint="eastAsia" w:eastAsia="黑体"/>
          <w:b/>
          <w:snapToGrid w:val="0"/>
          <w:color w:val="000000"/>
          <w:kern w:val="0"/>
          <w:sz w:val="24"/>
          <w:szCs w:val="24"/>
        </w:rPr>
        <w:t>涉及有关专利说明</w:t>
      </w:r>
      <w:bookmarkEnd w:id="30"/>
    </w:p>
    <w:p w14:paraId="05D49246">
      <w:pPr>
        <w:spacing w:line="360" w:lineRule="auto"/>
        <w:ind w:firstLine="480" w:firstLineChars="200"/>
        <w:rPr>
          <w:snapToGrid w:val="0"/>
          <w:color w:val="000000"/>
          <w:kern w:val="0"/>
          <w:sz w:val="24"/>
          <w:szCs w:val="24"/>
        </w:rPr>
      </w:pPr>
      <w:r>
        <w:rPr>
          <w:rFonts w:hint="eastAsia"/>
          <w:snapToGrid w:val="0"/>
          <w:color w:val="000000"/>
          <w:kern w:val="0"/>
          <w:sz w:val="24"/>
          <w:szCs w:val="24"/>
        </w:rPr>
        <w:t>无。</w:t>
      </w:r>
    </w:p>
    <w:p w14:paraId="46FC34E9">
      <w:pPr>
        <w:spacing w:before="156" w:beforeLines="50" w:after="156" w:afterLines="50" w:line="540" w:lineRule="exact"/>
        <w:outlineLvl w:val="0"/>
        <w:rPr>
          <w:rFonts w:eastAsia="黑体"/>
          <w:b/>
          <w:snapToGrid w:val="0"/>
          <w:color w:val="000000"/>
          <w:kern w:val="0"/>
          <w:sz w:val="24"/>
          <w:szCs w:val="24"/>
        </w:rPr>
      </w:pPr>
      <w:bookmarkStart w:id="31" w:name="_Toc212661045"/>
      <w:r>
        <w:rPr>
          <w:rFonts w:hint="eastAsia" w:eastAsia="黑体"/>
          <w:b/>
          <w:snapToGrid w:val="0"/>
          <w:color w:val="000000"/>
          <w:kern w:val="0"/>
          <w:sz w:val="24"/>
          <w:szCs w:val="24"/>
        </w:rPr>
        <w:t>九</w:t>
      </w:r>
      <w:r>
        <w:rPr>
          <w:rFonts w:eastAsia="黑体"/>
          <w:b/>
          <w:snapToGrid w:val="0"/>
          <w:color w:val="000000"/>
          <w:kern w:val="0"/>
          <w:sz w:val="24"/>
          <w:szCs w:val="24"/>
        </w:rPr>
        <w:t>、</w:t>
      </w:r>
      <w:r>
        <w:rPr>
          <w:rFonts w:hint="eastAsia" w:eastAsia="黑体"/>
          <w:b/>
          <w:snapToGrid w:val="0"/>
          <w:color w:val="000000"/>
          <w:kern w:val="0"/>
          <w:sz w:val="24"/>
          <w:szCs w:val="24"/>
        </w:rPr>
        <w:t>实施国家标准的要求，以及组织措施、技术措施、过渡期和实施日期的建议等措施建议</w:t>
      </w:r>
      <w:bookmarkEnd w:id="31"/>
    </w:p>
    <w:p w14:paraId="5486B24C">
      <w:pPr>
        <w:spacing w:line="360" w:lineRule="auto"/>
        <w:ind w:firstLine="480" w:firstLineChars="200"/>
        <w:rPr>
          <w:snapToGrid w:val="0"/>
          <w:color w:val="000000"/>
          <w:kern w:val="0"/>
          <w:sz w:val="24"/>
          <w:szCs w:val="24"/>
        </w:rPr>
      </w:pPr>
      <w:r>
        <w:rPr>
          <w:rFonts w:hint="eastAsia"/>
          <w:snapToGrid w:val="0"/>
          <w:color w:val="000000"/>
          <w:kern w:val="0"/>
          <w:sz w:val="24"/>
          <w:szCs w:val="24"/>
        </w:rPr>
        <w:t>本标准为农业环境类标准，并不涉及有关国家安全、保护人体健康和人身财产安全、环境质量要求等有关强制性地方标准或强制性条文等的八项要求之一，因此建议作为推荐性农业行业标准发布实施。建议面向农业技术推广人员、畜禽养殖企业、种植大户、农民专业合作社等主体，贯宣标准的核心技术要求和操作流程，确保标准落地实施。鼓励各省市结合生产实际、沼液类型和作物特点，制定本地区沼液还田的细则，细化施用量、施用时间等参数，提升标准的区域适用性。通过标准的实施、监督、评价和改进活动，使标准得到有效运用，推动行业健康发展。在本标准的执行过程中如果是标委会认可的、大家都采用的其它标准或者技术措施，可以作为本标准的补充进行使用</w:t>
      </w:r>
      <w:r>
        <w:rPr>
          <w:snapToGrid w:val="0"/>
          <w:color w:val="000000"/>
          <w:kern w:val="0"/>
          <w:sz w:val="24"/>
          <w:szCs w:val="24"/>
        </w:rPr>
        <w:t>。</w:t>
      </w:r>
    </w:p>
    <w:p w14:paraId="4E72FDC7">
      <w:pPr>
        <w:widowControl/>
        <w:spacing w:line="36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标准实施后，起草单位将跟踪行业发展和生产实践变化，及时收集标准实施反馈意见，适时对标准进行修订完善，确保标准科学性、时效性和实用性。</w:t>
      </w:r>
    </w:p>
    <w:p w14:paraId="2C7E91E9">
      <w:pPr>
        <w:spacing w:before="156" w:beforeLines="50" w:after="156" w:afterLines="50" w:line="540" w:lineRule="exact"/>
        <w:outlineLvl w:val="0"/>
        <w:rPr>
          <w:rFonts w:eastAsia="黑体"/>
          <w:b/>
          <w:snapToGrid w:val="0"/>
          <w:color w:val="000000"/>
          <w:kern w:val="0"/>
          <w:sz w:val="24"/>
          <w:szCs w:val="24"/>
        </w:rPr>
      </w:pPr>
      <w:bookmarkStart w:id="32" w:name="_Toc212661046"/>
      <w:r>
        <w:rPr>
          <w:rFonts w:eastAsia="黑体"/>
          <w:b/>
          <w:snapToGrid w:val="0"/>
          <w:color w:val="000000"/>
          <w:kern w:val="0"/>
          <w:sz w:val="24"/>
          <w:szCs w:val="24"/>
        </w:rPr>
        <w:t>十、其他应</w:t>
      </w:r>
      <w:r>
        <w:rPr>
          <w:rFonts w:hint="eastAsia" w:eastAsia="黑体"/>
          <w:b/>
          <w:snapToGrid w:val="0"/>
          <w:color w:val="000000"/>
          <w:kern w:val="0"/>
          <w:sz w:val="24"/>
          <w:szCs w:val="24"/>
        </w:rPr>
        <w:t>当</w:t>
      </w:r>
      <w:r>
        <w:rPr>
          <w:rFonts w:eastAsia="黑体"/>
          <w:b/>
          <w:snapToGrid w:val="0"/>
          <w:color w:val="000000"/>
          <w:kern w:val="0"/>
          <w:sz w:val="24"/>
          <w:szCs w:val="24"/>
        </w:rPr>
        <w:t>说明的事项</w:t>
      </w:r>
      <w:bookmarkEnd w:id="32"/>
    </w:p>
    <w:p w14:paraId="0EB07096">
      <w:pPr>
        <w:spacing w:line="360" w:lineRule="auto"/>
        <w:ind w:firstLine="480" w:firstLineChars="200"/>
        <w:rPr>
          <w:rFonts w:eastAsia="黑体"/>
          <w:b/>
          <w:snapToGrid w:val="0"/>
          <w:color w:val="000000"/>
          <w:kern w:val="0"/>
          <w:sz w:val="24"/>
          <w:szCs w:val="24"/>
        </w:rPr>
      </w:pPr>
      <w:r>
        <w:rPr>
          <w:snapToGrid w:val="0"/>
          <w:color w:val="000000"/>
          <w:kern w:val="0"/>
          <w:sz w:val="24"/>
          <w:szCs w:val="24"/>
        </w:rPr>
        <w:t>无</w:t>
      </w:r>
      <w:r>
        <w:rPr>
          <w:rFonts w:hint="eastAsia"/>
          <w:snapToGrid w:val="0"/>
          <w:color w:val="000000"/>
          <w:kern w:val="0"/>
          <w:sz w:val="24"/>
          <w:szCs w:val="24"/>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395312"/>
    </w:sdtPr>
    <w:sdtContent>
      <w:p w14:paraId="0C7BB37D">
        <w:pPr>
          <w:pStyle w:val="9"/>
          <w:jc w:val="center"/>
        </w:pPr>
        <w:r>
          <w:fldChar w:fldCharType="begin"/>
        </w:r>
        <w:r>
          <w:instrText xml:space="preserve">PAGE   \* MERGEFORMAT</w:instrText>
        </w:r>
        <w:r>
          <w:fldChar w:fldCharType="separate"/>
        </w:r>
        <w:r>
          <w:rPr>
            <w:lang w:val="zh-CN"/>
          </w:rPr>
          <w:t>2</w:t>
        </w:r>
        <w:r>
          <w:fldChar w:fldCharType="end"/>
        </w:r>
      </w:p>
    </w:sdtContent>
  </w:sdt>
  <w:p w14:paraId="00A1834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4610809"/>
    </w:sdtPr>
    <w:sdtContent>
      <w:p w14:paraId="34A24549">
        <w:pPr>
          <w:pStyle w:val="9"/>
          <w:jc w:val="center"/>
        </w:pPr>
        <w:r>
          <w:fldChar w:fldCharType="begin"/>
        </w:r>
        <w:r>
          <w:instrText xml:space="preserve">PAGE   \* MERGEFORMAT</w:instrText>
        </w:r>
        <w:r>
          <w:fldChar w:fldCharType="separate"/>
        </w:r>
        <w:r>
          <w:rPr>
            <w:lang w:val="zh-CN"/>
          </w:rPr>
          <w:t>3</w:t>
        </w:r>
        <w:r>
          <w:fldChar w:fldCharType="end"/>
        </w:r>
      </w:p>
    </w:sdtContent>
  </w:sdt>
  <w:p w14:paraId="5048DDA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B168">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BD8A">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6C"/>
    <w:rsid w:val="000A7087"/>
    <w:rsid w:val="000D6A20"/>
    <w:rsid w:val="000E6037"/>
    <w:rsid w:val="000F6A3B"/>
    <w:rsid w:val="0011049D"/>
    <w:rsid w:val="0012196E"/>
    <w:rsid w:val="00143B3C"/>
    <w:rsid w:val="00195F43"/>
    <w:rsid w:val="001A4797"/>
    <w:rsid w:val="0020700B"/>
    <w:rsid w:val="002247DD"/>
    <w:rsid w:val="00265F59"/>
    <w:rsid w:val="00272B15"/>
    <w:rsid w:val="002776DC"/>
    <w:rsid w:val="00290B93"/>
    <w:rsid w:val="002A1483"/>
    <w:rsid w:val="002B1EDF"/>
    <w:rsid w:val="002B3126"/>
    <w:rsid w:val="002B506A"/>
    <w:rsid w:val="002D0E8B"/>
    <w:rsid w:val="002D6F09"/>
    <w:rsid w:val="00304BCF"/>
    <w:rsid w:val="00311738"/>
    <w:rsid w:val="003A28A4"/>
    <w:rsid w:val="003C261F"/>
    <w:rsid w:val="003E31A7"/>
    <w:rsid w:val="003F1820"/>
    <w:rsid w:val="004023C5"/>
    <w:rsid w:val="004034D0"/>
    <w:rsid w:val="00412895"/>
    <w:rsid w:val="00420A97"/>
    <w:rsid w:val="004F7ECA"/>
    <w:rsid w:val="0052547B"/>
    <w:rsid w:val="00531D57"/>
    <w:rsid w:val="0053300A"/>
    <w:rsid w:val="005A51A7"/>
    <w:rsid w:val="005B3437"/>
    <w:rsid w:val="0063405C"/>
    <w:rsid w:val="00635D42"/>
    <w:rsid w:val="006627D2"/>
    <w:rsid w:val="00667F65"/>
    <w:rsid w:val="0067164B"/>
    <w:rsid w:val="00692D96"/>
    <w:rsid w:val="006A0091"/>
    <w:rsid w:val="0074462B"/>
    <w:rsid w:val="00772CBF"/>
    <w:rsid w:val="00783929"/>
    <w:rsid w:val="007B11F7"/>
    <w:rsid w:val="00814C44"/>
    <w:rsid w:val="00821356"/>
    <w:rsid w:val="008535CB"/>
    <w:rsid w:val="008631B3"/>
    <w:rsid w:val="008B50B6"/>
    <w:rsid w:val="008C0C24"/>
    <w:rsid w:val="008D23B8"/>
    <w:rsid w:val="00905D27"/>
    <w:rsid w:val="00932CE5"/>
    <w:rsid w:val="00993662"/>
    <w:rsid w:val="009A37F6"/>
    <w:rsid w:val="009E0F49"/>
    <w:rsid w:val="009E0FF9"/>
    <w:rsid w:val="009F12C1"/>
    <w:rsid w:val="00A71ED5"/>
    <w:rsid w:val="00AE6A16"/>
    <w:rsid w:val="00B03C1E"/>
    <w:rsid w:val="00B236C8"/>
    <w:rsid w:val="00B3136C"/>
    <w:rsid w:val="00BA266C"/>
    <w:rsid w:val="00BC5394"/>
    <w:rsid w:val="00BC7F16"/>
    <w:rsid w:val="00C15ABD"/>
    <w:rsid w:val="00C41475"/>
    <w:rsid w:val="00C57060"/>
    <w:rsid w:val="00C575D2"/>
    <w:rsid w:val="00C65E0B"/>
    <w:rsid w:val="00CF0ED9"/>
    <w:rsid w:val="00D05E6E"/>
    <w:rsid w:val="00D3265B"/>
    <w:rsid w:val="00D4109E"/>
    <w:rsid w:val="00D553E7"/>
    <w:rsid w:val="00D91D36"/>
    <w:rsid w:val="00DC0301"/>
    <w:rsid w:val="00DD4CDB"/>
    <w:rsid w:val="00DE1792"/>
    <w:rsid w:val="00DF1B40"/>
    <w:rsid w:val="00E204F1"/>
    <w:rsid w:val="00E426DC"/>
    <w:rsid w:val="00E42C31"/>
    <w:rsid w:val="00E45EEB"/>
    <w:rsid w:val="00E7604F"/>
    <w:rsid w:val="00EA2E6B"/>
    <w:rsid w:val="00EA6081"/>
    <w:rsid w:val="00EA61BB"/>
    <w:rsid w:val="00ED1DA6"/>
    <w:rsid w:val="00ED3584"/>
    <w:rsid w:val="00F62D99"/>
    <w:rsid w:val="00F86E6B"/>
    <w:rsid w:val="00F9133F"/>
    <w:rsid w:val="00FA69C5"/>
    <w:rsid w:val="00FC6F2E"/>
    <w:rsid w:val="00FD0B26"/>
    <w:rsid w:val="00FD15A5"/>
    <w:rsid w:val="00FE1D28"/>
    <w:rsid w:val="00FE3E79"/>
    <w:rsid w:val="0C98711B"/>
    <w:rsid w:val="567F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31"/>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unhideWhenUsed/>
    <w:qFormat/>
    <w:uiPriority w:val="99"/>
    <w:pPr>
      <w:spacing w:line="400" w:lineRule="exact"/>
      <w:ind w:firstLine="420"/>
      <w:jc w:val="left"/>
    </w:pPr>
    <w:rPr>
      <w:rFonts w:ascii="Times New Roman" w:hAnsi="Times New Roman" w:eastAsia="宋体" w:cs="Times New Roman"/>
      <w:szCs w:val="20"/>
    </w:rPr>
  </w:style>
  <w:style w:type="paragraph" w:styleId="7">
    <w:name w:val="Body Text Indent"/>
    <w:basedOn w:val="1"/>
    <w:link w:val="24"/>
    <w:qFormat/>
    <w:uiPriority w:val="0"/>
    <w:pPr>
      <w:tabs>
        <w:tab w:val="left" w:pos="2268"/>
      </w:tabs>
      <w:spacing w:line="560" w:lineRule="exact"/>
      <w:ind w:firstLine="600" w:firstLineChars="200"/>
    </w:pPr>
    <w:rPr>
      <w:rFonts w:ascii="仿宋_GB2312" w:hAnsi="Times New Roman" w:eastAsia="宋体" w:cs="Times New Roman"/>
      <w:sz w:val="30"/>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annotation subject"/>
    <w:basedOn w:val="6"/>
    <w:next w:val="6"/>
    <w:link w:val="32"/>
    <w:semiHidden/>
    <w:unhideWhenUsed/>
    <w:qFormat/>
    <w:uiPriority w:val="99"/>
    <w:pPr>
      <w:spacing w:line="240" w:lineRule="auto"/>
      <w:ind w:firstLine="0"/>
    </w:pPr>
    <w:rPr>
      <w:rFonts w:asciiTheme="minorHAnsi" w:hAnsiTheme="minorHAnsi" w:eastAsiaTheme="minorEastAsia" w:cstheme="minorBidi"/>
      <w:b/>
      <w:bCs/>
      <w:szCs w:val="22"/>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标题 1 字符"/>
    <w:basedOn w:val="14"/>
    <w:link w:val="2"/>
    <w:qFormat/>
    <w:uiPriority w:val="9"/>
    <w:rPr>
      <w:rFonts w:ascii="宋体" w:hAnsi="宋体" w:eastAsia="宋体" w:cs="宋体"/>
      <w:b/>
      <w:bCs/>
      <w:kern w:val="36"/>
      <w:sz w:val="48"/>
      <w:szCs w:val="48"/>
    </w:rPr>
  </w:style>
  <w:style w:type="character" w:customStyle="1" w:styleId="18">
    <w:name w:val="标题 2 字符"/>
    <w:basedOn w:val="14"/>
    <w:link w:val="3"/>
    <w:qFormat/>
    <w:uiPriority w:val="9"/>
    <w:rPr>
      <w:rFonts w:ascii="宋体" w:hAnsi="宋体" w:eastAsia="宋体" w:cs="宋体"/>
      <w:b/>
      <w:bCs/>
      <w:kern w:val="0"/>
      <w:sz w:val="36"/>
      <w:szCs w:val="36"/>
    </w:rPr>
  </w:style>
  <w:style w:type="character" w:customStyle="1" w:styleId="19">
    <w:name w:val="标题 3 字符"/>
    <w:basedOn w:val="14"/>
    <w:link w:val="4"/>
    <w:qFormat/>
    <w:uiPriority w:val="9"/>
    <w:rPr>
      <w:rFonts w:ascii="宋体" w:hAnsi="宋体" w:eastAsia="宋体" w:cs="宋体"/>
      <w:b/>
      <w:bCs/>
      <w:kern w:val="0"/>
      <w:sz w:val="27"/>
      <w:szCs w:val="27"/>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character" w:customStyle="1" w:styleId="21">
    <w:name w:val="页眉 字符"/>
    <w:basedOn w:val="14"/>
    <w:link w:val="10"/>
    <w:qFormat/>
    <w:uiPriority w:val="99"/>
    <w:rPr>
      <w:rFonts w:ascii="Times New Roman" w:hAnsi="Times New Roman" w:eastAsia="宋体" w:cs="Times New Roman"/>
      <w:sz w:val="18"/>
      <w:szCs w:val="18"/>
    </w:rPr>
  </w:style>
  <w:style w:type="paragraph" w:customStyle="1" w:styleId="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4">
    <w:name w:val="正文文本缩进 字符"/>
    <w:basedOn w:val="14"/>
    <w:link w:val="7"/>
    <w:qFormat/>
    <w:uiPriority w:val="0"/>
    <w:rPr>
      <w:rFonts w:ascii="仿宋_GB2312" w:hAnsi="Times New Roman" w:eastAsia="宋体" w:cs="Times New Roman"/>
      <w:sz w:val="30"/>
      <w:szCs w:val="24"/>
    </w:rPr>
  </w:style>
  <w:style w:type="paragraph" w:styleId="25">
    <w:name w:val="List Paragraph"/>
    <w:basedOn w:val="1"/>
    <w:qFormat/>
    <w:uiPriority w:val="34"/>
    <w:pPr>
      <w:ind w:firstLine="420" w:firstLineChars="200"/>
    </w:pPr>
  </w:style>
  <w:style w:type="paragraph" w:customStyle="1" w:styleId="26">
    <w:name w:val="段"/>
    <w:link w:val="27"/>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27">
    <w:name w:val="段 Char"/>
    <w:link w:val="26"/>
    <w:qFormat/>
    <w:uiPriority w:val="0"/>
    <w:rPr>
      <w:rFonts w:ascii="宋体" w:hAnsi="Times New Roman" w:eastAsia="宋体" w:cs="Times New Roman"/>
      <w:kern w:val="0"/>
      <w:szCs w:val="20"/>
    </w:rPr>
  </w:style>
  <w:style w:type="character" w:customStyle="1" w:styleId="28">
    <w:name w:val="批注文字 字符"/>
    <w:basedOn w:val="14"/>
    <w:link w:val="6"/>
    <w:semiHidden/>
    <w:qFormat/>
    <w:uiPriority w:val="99"/>
    <w:rPr>
      <w:rFonts w:ascii="Times New Roman" w:hAnsi="Times New Roman" w:eastAsia="宋体" w:cs="Times New Roman"/>
      <w:szCs w:val="20"/>
    </w:rPr>
  </w:style>
  <w:style w:type="character" w:customStyle="1" w:styleId="29">
    <w:name w:val="批注框文本 字符"/>
    <w:basedOn w:val="14"/>
    <w:link w:val="8"/>
    <w:semiHidden/>
    <w:qFormat/>
    <w:uiPriority w:val="99"/>
    <w:rPr>
      <w:sz w:val="18"/>
      <w:szCs w:val="18"/>
    </w:rPr>
  </w:style>
  <w:style w:type="character" w:customStyle="1" w:styleId="30">
    <w:name w:val="标题 4 Char"/>
    <w:basedOn w:val="14"/>
    <w:semiHidden/>
    <w:qFormat/>
    <w:uiPriority w:val="9"/>
    <w:rPr>
      <w:rFonts w:asciiTheme="majorHAnsi" w:hAnsiTheme="majorHAnsi" w:eastAsiaTheme="majorEastAsia" w:cstheme="majorBidi"/>
      <w:b/>
      <w:bCs/>
      <w:sz w:val="28"/>
      <w:szCs w:val="28"/>
    </w:rPr>
  </w:style>
  <w:style w:type="character" w:customStyle="1" w:styleId="31">
    <w:name w:val="标题 4 字符"/>
    <w:link w:val="5"/>
    <w:qFormat/>
    <w:uiPriority w:val="0"/>
    <w:rPr>
      <w:rFonts w:ascii="等线 Light" w:hAnsi="等线 Light" w:eastAsia="等线 Light" w:cs="Times New Roman"/>
      <w:b/>
      <w:bCs/>
      <w:sz w:val="28"/>
      <w:szCs w:val="28"/>
    </w:rPr>
  </w:style>
  <w:style w:type="character" w:customStyle="1" w:styleId="32">
    <w:name w:val="批注主题 字符"/>
    <w:basedOn w:val="28"/>
    <w:link w:val="11"/>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e557097e-b81c-48b5-9f41-05df40389bbb</errorID>
      <errorWord>-</errorWord>
      <group>L1_Format</group>
      <groupName>格式问题</groupName>
      <ability>L2_HalfPunc</ability>
      <abilityName>全半角检查</abilityName>
      <candidateList>
        <item>－</item>
      </candidateList>
      <explain>文本全半角错误。</explain>
      <paraID>57EFF3E9</paraID>
      <start>7</start>
      <end>8</end>
      <status>unmodified</status>
      <modifiedWord/>
      <trackRevisions>false</trackRevisions>
    </reviewItem>
    <reviewItem>
      <errorID>283702a6-2312-4b4a-aef7-1612c7d6a011</errorID>
      <errorWord>场景下</errorWord>
      <group>L1_Word</group>
      <groupName>字词问题</groupName>
      <ability>L2_Typo</ability>
      <abilityName>字词错误</abilityName>
      <candidateList>
        <item>场景</item>
      </candidateList>
      <explain/>
      <paraID>57EFF3E9</paraID>
      <start>89</start>
      <end>92</end>
      <status>unmodified</status>
      <modifiedWord/>
      <trackRevisions>false</trackRevisions>
    </reviewItem>
    <reviewItem>
      <errorID>8d10f847-8b96-439b-babf-d16b6f116982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2B6D220A</paraID>
      <start>7</start>
      <end>8</end>
      <status>unmodified</status>
      <modifiedWord/>
      <trackRevisions>false</trackRevisions>
    </reviewItem>
    <reviewItem>
      <errorID>7ace4126-5ae2-4172-b426-0a37e6c0548e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14BF9ECB</paraID>
      <start>7</start>
      <end>8</end>
      <status>unmodified</status>
      <modifiedWord/>
      <trackRevisions>false</trackRevisions>
    </reviewItem>
    <reviewItem>
      <errorID>c9b71543-2f44-4f70-a703-2d9747589187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163B9E53</paraID>
      <start>7</start>
      <end>8</end>
      <status>unmodified</status>
      <modifiedWord/>
      <trackRevisions>false</trackRevisions>
    </reviewItem>
    <reviewItem>
      <errorID>7f45c76e-bc9c-451f-bcac-10a9af0b8552</errorID>
      <errorWord>、还</errorWord>
      <group>L1_Punc</group>
      <groupName>标点问题</groupName>
      <ability>L2_Punc</ability>
      <abilityName>标点符号检查</abilityName>
      <candidateList>
        <item>，还</item>
      </candidateList>
      <explain>连接词前后不宜使用顿号，建议使用逗号。</explain>
      <paraID>66A5CE8E</paraID>
      <start>25</start>
      <end>27</end>
      <status>unmodified</status>
      <modifiedWord/>
      <trackRevisions>false</trackRevisions>
    </reviewItem>
    <reviewItem>
      <errorID>1597eb3f-78c5-44a1-8221-534c099c61da</errorID>
      <errorWord>:</errorWord>
      <group>L1_Format</group>
      <groupName>格式问题</groupName>
      <ability>L2_HalfPunc</ability>
      <abilityName>全半角检查</abilityName>
      <candidateList>
        <item>：</item>
      </candidateList>
      <explain>文本全半角错误。</explain>
      <paraID>7EFFF8DA</paraID>
      <start>77</start>
      <end>78</end>
      <status>unmodified</status>
      <modifiedWord/>
      <trackRevisions>false</trackRevisions>
    </reviewItem>
    <reviewItem>
      <errorID>462f0e8b-73c6-48c8-995f-05fcd438deb6</errorID>
      <errorWord>:</errorWord>
      <group>L1_Format</group>
      <groupName>格式问题</groupName>
      <ability>L2_HalfPunc</ability>
      <abilityName>全半角检查</abilityName>
      <candidateList>
        <item>：</item>
      </candidateList>
      <explain>文本全半角错误。</explain>
      <paraID>328078F4</paraID>
      <start>30</start>
      <end>31</end>
      <status>unmodified</status>
      <modifiedWord/>
      <trackRevisions>false</trackRevisions>
    </reviewItem>
    <reviewItem>
      <errorID>2dbf6da5-6b97-438a-bcd2-4c67f12c43b4</errorID>
      <errorWord>施用</errorWord>
      <group>L1_Word</group>
      <groupName>字词问题</groupName>
      <ability>L2_Typo</ability>
      <abilityName>字词错误</abilityName>
      <candidateList>
        <item>使用</item>
      </candidateList>
      <explain>〈动〉使人员、器物、资金等为某种目的服务：～干部｜合理～资金。</explain>
      <paraID>40CEDC78</paraID>
      <start>26</start>
      <end>28</end>
      <status>unmodified</status>
      <modifiedWord/>
      <trackRevisions>false</trackRevisions>
    </reviewItem>
    <reviewItem>
      <errorID>4edb7cbb-35e9-4a94-8b24-e56b0d323c29</errorID>
      <errorWord>(</errorWord>
      <group>L1_Format</group>
      <groupName>格式问题</groupName>
      <ability>L2_HalfPunc</ability>
      <abilityName>全半角检查</abilityName>
      <candidateList>
        <item>（</item>
      </candidateList>
      <explain>文本全半角错误。</explain>
      <paraID>1A76CFF5</paraID>
      <start>3</start>
      <end>4</end>
      <status>unmodified</status>
      <modifiedWord/>
      <trackRevisions>false</trackRevisions>
    </reviewItem>
    <reviewItem>
      <errorID>804be805-5aaf-4f28-b64a-8291db8fdd8d</errorID>
      <errorWord>分</errorWord>
      <group>L1_Word</group>
      <groupName>字词问题</groupName>
      <ability>L2_Typo</ability>
      <abilityName>字词错误</abilityName>
      <candidateList>
        <item>分为</item>
      </candidateList>
      <explain/>
      <paraID>38CDF2A4</paraID>
      <start>0</start>
      <end>1</end>
      <status>unmodified</status>
      <modifiedWord/>
      <trackRevisions>false</trackRevisions>
    </reviewItem>
    <reviewItem>
      <errorID>b2c23e02-f7ce-461b-87d5-a8731af7ebdb</errorID>
      <errorWord>警示标示</errorWord>
      <group>L1_Knowledge</group>
      <groupName>知识性问题</groupName>
      <ability>L2_Term</ability>
      <abilityName>专业术语</abilityName>
      <candidateList>
        <item>警示标志</item>
      </candidateList>
      <explain/>
      <paraID>776143CD</paraID>
      <start>15</start>
      <end>19</end>
      <status>modified</status>
      <modifiedWord>警示标志</modifiedWord>
      <trackRevisions>false</trackRevisions>
    </reviewItem>
    <reviewItem>
      <errorID>d58116c3-8ee4-448e-a7ce-00860b4dddcd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1FFB63F0</paraID>
      <start>44</start>
      <end>45</end>
      <status>unmodified</status>
      <modifiedWord/>
      <trackRevisions>false</trackRevisions>
    </reviewItem>
    <reviewItem>
      <errorID>8f561114-c83e-4f44-98d5-7e0d92120440</errorID>
      <errorWord>需求下</errorWord>
      <group>L1_Word</group>
      <groupName>字词问题</groupName>
      <ability>L2_Typo</ability>
      <abilityName>字词错误</abilityName>
      <candidateList>
        <item>需求</item>
      </candidateList>
      <explain/>
      <paraID>65ACCB40</paraID>
      <start>43</start>
      <end>45</end>
      <status>modified</status>
      <modifiedWord>需求</modifiedWord>
      <trackRevisions>false</trackRevisions>
    </reviewItem>
    <reviewItem>
      <errorID>49aea37f-1e80-4817-8cdc-1cb0ea2d511e</errorID>
      <errorWord>（</errorWord>
      <group>L1_Format</group>
      <groupName>格式问题</groupName>
      <ability>L2_HalfPunc</ability>
      <abilityName>全半角检查</abilityName>
      <candidateList>
        <item>(</item>
      </candidateList>
      <explain>文本全半角错误。</explain>
      <paraID>1EEB8780</paraID>
      <start>38</start>
      <end>39</end>
      <status>unmodified</status>
      <modifiedWord/>
      <trackRevisions>false</trackRevisions>
    </reviewItem>
    <reviewItem>
      <errorID>d5bcf9e1-8dee-4c4d-8d7d-9d0f514ecec3</errorID>
      <errorWord>）</errorWord>
      <group>L1_Format</group>
      <groupName>格式问题</groupName>
      <ability>L2_HalfPunc</ability>
      <abilityName>全半角检查</abilityName>
      <candidateList>
        <item>)</item>
      </candidateList>
      <explain>文本全半角错误。</explain>
      <paraID>1EEB8780</paraID>
      <start>40</start>
      <end>41</end>
      <status>unmodified</status>
      <modifiedWord/>
      <trackRevisions>false</trackRevisions>
    </reviewItem>
    <reviewItem>
      <errorID>0069d250-06c9-4823-83d6-16c8cbf115b3</errorID>
      <errorWord>孙国峰</errorWord>
      <group>L1_Sensitive</group>
      <groupName>敏感问题</groupName>
      <ability>L2_Disgraced</ability>
      <abilityName>落马官员</abilityName>
      <candidateList/>
      <explain>【落马官员】请注意，&lt;孙国峰&gt;为已落马官员的姓名。</explain>
      <paraID>11139EBC</paraID>
      <start>157</start>
      <end>160</end>
      <status>unmodified</status>
      <modifiedWord/>
      <trackRevisions>false</trackRevisions>
    </reviewItem>
    <reviewItem>
      <errorID>fe376be5-5f6b-46f3-90bb-30b260cc1119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1B825C1C</paraID>
      <start>0</start>
      <end>2</end>
      <status>unmodified</status>
      <modifiedWord/>
      <trackRevisions>false</trackRevisions>
    </reviewItem>
    <reviewItem>
      <errorID>5b1e7b3d-e652-4695-a60c-19928bd33ab2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73145CF6</paraID>
      <start>0</start>
      <end>2</end>
      <status>unmodified</status>
      <modifiedWord/>
      <trackRevisions>false</trackRevisions>
    </reviewItem>
    <reviewItem>
      <errorID>e3a095dd-3fb1-4dea-81c7-41988ea3256d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6F3F2B72</paraID>
      <start>0</start>
      <end>2</end>
      <status>unmodified</status>
      <modifiedWord/>
      <trackRevisions>false</trackRevisions>
    </reviewItem>
    <reviewItem>
      <errorID>0331afb1-0be4-47dd-b6b8-82c5acb0221f</errorID>
      <errorWord>追施</errorWord>
      <group>L1_Word</group>
      <groupName>字词问题</groupName>
      <ability>L2_Typo</ability>
      <abilityName>字词错误</abilityName>
      <candidateList>
        <item>追溯</item>
      </candidateList>
      <explain/>
      <paraID>6572ABC6</paraID>
      <start>4</start>
      <end>6</end>
      <status>unmodified</status>
      <modifiedWord/>
      <trackRevisions>false</trackRevisions>
    </reviewItem>
    <reviewItem>
      <errorID>cc812273-e958-462c-9b38-aed6cc6a9067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7B34B267</paraID>
      <start>0</start>
      <end>2</end>
      <status>unmodified</status>
      <modifiedWord/>
      <trackRevisions>false</trackRevisions>
    </reviewItem>
    <reviewItem>
      <errorID>2c05d892-970c-41e9-bc9d-a6e0219642c1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2FAD13B4</paraID>
      <start>0</start>
      <end>2</end>
      <status>unmodified</status>
      <modifiedWord/>
      <trackRevisions>false</trackRevisions>
    </reviewItem>
    <reviewItem>
      <errorID>ef142643-89cb-424f-a939-622ea129a0f3</errorID>
      <errorWord>,</errorWord>
      <group>L1_Format</group>
      <groupName>格式问题</groupName>
      <ability>L2_HalfPunc</ability>
      <abilityName>全半角检查</abilityName>
      <candidateList>
        <item>，</item>
      </candidateList>
      <explain>文本全半角错误。</explain>
      <paraID>2FAD13B4</paraID>
      <start>17</start>
      <end>18</end>
      <status>unmodified</status>
      <modifiedWord/>
      <trackRevisions>false</trackRevisions>
    </reviewItem>
    <reviewItem>
      <errorID>4e307a80-43b7-442b-827d-c544dc817c05</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1DD9A4A7</paraID>
      <start>0</start>
      <end>2</end>
      <status>unmodified</status>
      <modifiedWord/>
      <trackRevisions>false</trackRevisions>
    </reviewItem>
    <reviewItem>
      <errorID>0e8f88d7-0380-4563-8da3-cdd2c3c2dbd9</errorID>
      <errorWord>;</errorWord>
      <group>L1_Format</group>
      <groupName>格式问题</groupName>
      <ability>L2_HalfPunc</ability>
      <abilityName>全半角检查</abilityName>
      <candidateList>
        <item>；</item>
      </candidateList>
      <explain>文本全半角错误。</explain>
      <paraID>1DD9A4A7</paraID>
      <start>31</start>
      <end>32</end>
      <status>unmodified</status>
      <modifiedWord/>
      <trackRevisions>false</trackRevisions>
    </reviewItem>
    <reviewItem>
      <errorID>0e009551-8211-4d5b-9580-6114ce649458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418E605A</paraID>
      <start>0</start>
      <end>2</end>
      <status>unmodified</status>
      <modifiedWord/>
      <trackRevisions>false</trackRevisions>
    </reviewItem>
    <reviewItem>
      <errorID>be166b30-1ecc-4fcf-b6ac-861f4b640d60</errorID>
      <errorWord>，</errorWord>
      <group>L1_Word</group>
      <groupName>字词问题</groupName>
      <ability>L2_Typo</ability>
      <abilityName>字词错误</abilityName>
      <candidateList>
        <item>，有</item>
      </candidateList>
      <explain/>
      <paraID>110F9BE8</paraID>
      <start>61</start>
      <end>62</end>
      <status>unmodified</status>
      <modifiedWord/>
      <trackRevisions>false</trackRevisions>
    </reviewItem>
    <reviewItem>
      <errorID>b9d1f126-9fee-4b5c-b2c1-bacde24b647e</errorID>
      <errorWord>柑桔</errorWord>
      <group>L1_Word</group>
      <groupName>字词问题</groupName>
      <ability>L2_Typo</ability>
      <abilityName>字词错误</abilityName>
      <candidateList>
        <item>柑橘</item>
      </candidateList>
      <explain>存在发音相同字词的误用。</explain>
      <paraID>509A1D39</paraID>
      <start>0</start>
      <end>2</end>
      <status>unmodified</status>
      <modifiedWord/>
      <trackRevisions>false</trackRevisions>
    </reviewItem>
    <reviewItem>
      <errorID>9c32340d-1543-4cdf-a865-207ce979d800</errorID>
      <errorWord>III</errorWord>
      <group>L1_Word</group>
      <groupName>字词问题</groupName>
      <ability>L2_Typo</ability>
      <abilityName>字词错误</abilityName>
      <candidateList>
        <item>Ⅲ</item>
      </candidateList>
      <explain/>
      <paraID>35A60564</paraID>
      <start>0</start>
      <end>3</end>
      <status>unmodified</status>
      <modifiedWord/>
      <trackRevisions>false</trackRevisions>
    </reviewItem>
    <reviewItem>
      <errorID>7bb4d58b-d70c-4937-8640-f9922244ed36</errorID>
      <errorWord>(</errorWord>
      <group>L1_Format</group>
      <groupName>格式问题</groupName>
      <ability>L2_HalfPunc</ability>
      <abilityName>全半角检查</abilityName>
      <candidateList>
        <item>（</item>
      </candidateList>
      <explain>文本全半角错误。</explain>
      <paraID>560A30CB</paraID>
      <start>2</start>
      <end>3</end>
      <status>unmodified</status>
      <modifiedWord/>
      <trackRevisions>false</trackRevisions>
    </reviewItem>
    <reviewItem>
      <errorID>4e9c0b30-90ad-49e1-9ecc-becc89b6d5a8</errorID>
      <errorWord>)</errorWord>
      <group>L1_Format</group>
      <groupName>格式问题</groupName>
      <ability>L2_HalfPunc</ability>
      <abilityName>全半角检查</abilityName>
      <candidateList>
        <item>）</item>
      </candidateList>
      <explain>文本全半角错误。</explain>
      <paraID>560A30CB</paraID>
      <start>7</start>
      <end>8</end>
      <status>unmodified</status>
      <modifiedWord/>
      <trackRevisions>false</trackRevisions>
    </reviewItem>
    <reviewItem>
      <errorID>249ec258-fa87-4d83-9b4b-8b382ad48ce8</errorID>
      <errorWord>&gt;</errorWord>
      <group>L1_Punc</group>
      <groupName>标点问题</groupName>
      <ability>L2_Punc</ability>
      <abilityName>标点符号检查</abilityName>
      <candidateList/>
      <explain/>
      <paraID>5FFEC0AC</paraID>
      <start>0</start>
      <end>1</end>
      <status>unmodified</status>
      <modifiedWord/>
      <trackRevisions>false</trackRevisions>
    </reviewItem>
    <reviewItem>
      <errorID>7a96c202-35e5-4639-8f29-048c2da0bea6</errorID>
      <errorWord>&gt;</errorWord>
      <group>L1_Punc</group>
      <groupName>标点问题</groupName>
      <ability>L2_Punc</ability>
      <abilityName>标点符号检查</abilityName>
      <candidateList/>
      <explain/>
      <paraID> 629BAC2</paraID>
      <start>0</start>
      <end>1</end>
      <status>unmodified</status>
      <modifiedWord/>
      <trackRevisions>false</trackRevisions>
    </reviewItem>
    <reviewItem>
      <errorID>d14fea8e-bbda-4e48-baeb-8aaa2effefe7</errorID>
      <errorWord>&gt;</errorWord>
      <group>L1_Punc</group>
      <groupName>标点问题</groupName>
      <ability>L2_Punc</ability>
      <abilityName>标点符号检查</abilityName>
      <candidateList/>
      <explain/>
      <paraID>6D776C2B</paraID>
      <start>0</start>
      <end>1</end>
      <status>unmodified</status>
      <modifiedWord/>
      <trackRevisions>false</trackRevisions>
    </reviewItem>
    <reviewItem>
      <errorID>26e716ae-be4d-47b7-8389-446b06e2f6e2</errorID>
      <errorWord>&gt;</errorWord>
      <group>L1_Punc</group>
      <groupName>标点问题</groupName>
      <ability>L2_Punc</ability>
      <abilityName>标点符号检查</abilityName>
      <candidateList/>
      <explain/>
      <paraID>7806AE8B</paraID>
      <start>0</start>
      <end>1</end>
      <status>unmodified</status>
      <modifiedWord/>
      <trackRevisions>false</trackRevisions>
    </reviewItem>
    <reviewItem>
      <errorID>9a8e0333-a43d-4409-a317-d760870d7a24</errorID>
      <errorWord>建议要</errorWord>
      <group>L1_Word</group>
      <groupName>字词问题</groupName>
      <ability>L2_Typo</ability>
      <abilityName>字词错误</abilityName>
      <candidateList>
        <item>建议</item>
      </candidateList>
      <explain/>
      <paraID>794C3C2F</paraID>
      <start>49</start>
      <end>52</end>
      <status>unmodified</status>
      <modifiedWord/>
      <trackRevisions>false</trackRevisions>
    </reviewItem>
    <reviewItem>
      <errorID>4c6c2d96-943f-42fb-a1b7-0be6df45c50c</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794C3C2F</paraID>
      <start>108</start>
      <end>109</end>
      <status>unmodified</status>
      <modifiedWord/>
      <trackRevisions>false</trackRevisions>
    </reviewItem>
    <reviewItem>
      <errorID>1bcbbf3a-1d91-4a74-a1b1-461e39b08937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63F1D5F8</paraID>
      <start>0</start>
      <end>2</end>
      <status>unmodified</status>
      <modifiedWord/>
      <trackRevisions>false</trackRevisions>
    </reviewItem>
    <reviewItem>
      <errorID>728f708a-e4d7-42c3-aad5-5fe4faec4846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68F9242D</paraID>
      <start>0</start>
      <end>2</end>
      <status>unmodified</status>
      <modifiedWord/>
      <trackRevisions>false</trackRevisions>
    </reviewItem>
    <reviewItem>
      <errorID>7b30bda7-f699-4d57-84c9-feb439eb3a0e</errorID>
      <errorWord>显著性</errorWord>
      <group>L1_Word</group>
      <groupName>字词问题</groupName>
      <ability>L2_Typo</ability>
      <abilityName>字词错误</abilityName>
      <candidateList>
        <item>显著</item>
      </candidateList>
      <explain/>
      <paraID>38EDAE49</paraID>
      <start>102</start>
      <end>105</end>
      <status>unmodified</status>
      <modifiedWord/>
      <trackRevisions>false</trackRevisions>
    </reviewItem>
    <reviewItem>
      <errorID>2e826493-95ac-4783-a507-91ea351983a2</errorID>
      <errorWord>法律、法规</errorWord>
      <group>L1_Word</group>
      <groupName>字词问题</groupName>
      <ability>L2_Typo</ability>
      <abilityName>字词错误</abilityName>
      <candidateList>
        <item>法律法规</item>
      </candidateList>
      <explain/>
      <paraID>5C5D89B5</paraID>
      <start>8</start>
      <end>13</end>
      <status>unmodified</status>
      <modifiedWord/>
      <trackRevisions>false</trackRevisions>
    </reviewItem>
    <reviewItem>
      <errorID>9b327afe-ab7f-4959-939f-f0d5d55fc3a7</errorID>
      <errorWord>的其它标准</errorWord>
      <group>L1_Word</group>
      <groupName>字词问题</groupName>
      <ability>L2_Alias</ability>
      <abilityName>也作/曾用词</abilityName>
      <candidateList>
        <item>的其他标准</item>
      </candidateList>
      <explain>词汇[的其它标准]为不规范表述或旧称，其规范书面表述为[的其他标准]。</explain>
      <paraID>5486B24C</paraID>
      <start>273</start>
      <end>278</end>
      <status>unmodified</status>
      <modifiedWord/>
      <trackRevisions>false</trackRevisions>
    </reviewItem>
  </reviewItems>
  <config/>
</contractReview>
</file>

<file path=customXml/itemProps1.xml><?xml version="1.0" encoding="utf-8"?>
<ds:datastoreItem xmlns:ds="http://schemas.openxmlformats.org/officeDocument/2006/customXml" ds:itemID="{296b4838-10e2-41e2-b5c1-784c9fdc43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8539</Words>
  <Characters>9508</Characters>
  <Lines>86</Lines>
  <Paragraphs>24</Paragraphs>
  <TotalTime>3</TotalTime>
  <ScaleCrop>false</ScaleCrop>
  <LinksUpToDate>false</LinksUpToDate>
  <CharactersWithSpaces>9724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2026-03-31T09:05:00Z</dcterms:created>
  <dc:creator>Microsoft 帐户</dc:creator>
  <cp:lastModifiedBy>Kay</cp:lastModifiedBy>
  <dcterms:modified xsi:type="dcterms:W3CDTF">2026-04-20T01:54:53Z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eyJoZGlkIjoiZWU0ODY5YjAzZTNhMDE1OWZmOTJhMzNiYjRlYjkzODEiLCJ1c2VySWQiOiIxMDI4NTQ2MDkyIn0=</vt:lpwstr>
  </property>
  <property fmtid="{D5CDD505-2E9C-101B-9397-08002B2CF9AE}" pid="3" name="KSOProductBuildVer">
    <vt:lpwstr>2052-12.1.0.25865</vt:lpwstr>
  </property>
  <property fmtid="{D5CDD505-2E9C-101B-9397-08002B2CF9AE}" pid="4" name="ICV">
    <vt:lpwstr>8669396719C048F882CE73FCBE20A4A7_12</vt:lpwstr>
  </property>
</Properties>
</file>