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DC546A">
      <w:pPr>
        <w:rPr>
          <w:rFonts w:hint="default" w:ascii="黑体" w:hAnsi="黑体" w:eastAsia="黑体" w:cs="黑体"/>
          <w:b w:val="0"/>
          <w:bCs w:val="0"/>
          <w:lang w:val="en-US" w:eastAsia="zh-CN"/>
        </w:rPr>
      </w:pPr>
      <w:r>
        <w:rPr>
          <w:rFonts w:hint="eastAsia" w:ascii="黑体" w:hAnsi="黑体" w:eastAsia="黑体" w:cs="黑体"/>
          <w:b w:val="0"/>
          <w:bCs w:val="0"/>
        </w:rPr>
        <w:t xml:space="preserve">ICS </w:t>
      </w:r>
      <w:r>
        <w:rPr>
          <w:rFonts w:hint="eastAsia" w:ascii="黑体" w:hAnsi="黑体" w:eastAsia="黑体" w:cs="黑体"/>
          <w:b w:val="0"/>
          <w:bCs w:val="0"/>
          <w:lang w:val="en-US" w:eastAsia="zh-CN"/>
        </w:rPr>
        <w:t xml:space="preserve"> ***</w:t>
      </w:r>
    </w:p>
    <w:p w14:paraId="05D9510F">
      <w:pPr>
        <w:rPr>
          <w:rFonts w:hint="eastAsia" w:ascii="黑体" w:hAnsi="黑体" w:eastAsia="黑体" w:cs="黑体"/>
          <w:b w:val="0"/>
          <w:bCs w:val="0"/>
          <w:lang w:eastAsia="zh-CN"/>
        </w:rPr>
      </w:pPr>
      <w:r>
        <w:rPr>
          <w:rFonts w:hint="eastAsia" w:ascii="黑体" w:hAnsi="黑体" w:eastAsia="黑体" w:cs="黑体"/>
          <w:b w:val="0"/>
          <w:bCs w:val="0"/>
        </w:rPr>
        <w:t xml:space="preserve">CCS </w:t>
      </w:r>
      <w:r>
        <w:rPr>
          <w:rFonts w:hint="eastAsia" w:ascii="黑体" w:hAnsi="黑体" w:eastAsia="黑体" w:cs="黑体"/>
          <w:b w:val="0"/>
          <w:bCs w:val="0"/>
          <w:lang w:val="en-US" w:eastAsia="zh-CN"/>
        </w:rPr>
        <w:t xml:space="preserve"> *** </w:t>
      </w:r>
    </w:p>
    <w:p w14:paraId="6860A0B4">
      <w:pPr>
        <w:pStyle w:val="15"/>
        <w:framePr w:w="0" w:hRule="auto" w:hSpace="0" w:vSpace="0" w:wrap="auto" w:vAnchor="margin" w:hAnchor="text" w:xAlign="left" w:yAlign="inline"/>
        <w:ind w:right="628"/>
        <w:rPr>
          <w:b w:val="0"/>
          <w:bCs w:val="0"/>
          <w:w w:val="130"/>
          <w:szCs w:val="20"/>
        </w:rPr>
      </w:pPr>
      <w:r>
        <w:rPr>
          <w:rFonts w:hint="eastAsia" w:eastAsia="黑体"/>
          <w:b w:val="0"/>
          <w:bCs w:val="0"/>
          <w:spacing w:val="57"/>
          <w:sz w:val="52"/>
          <w:szCs w:val="52"/>
        </w:rPr>
        <w:t xml:space="preserve">             </w:t>
      </w:r>
      <w:r>
        <w:rPr>
          <w:b w:val="0"/>
          <w:bCs w:val="0"/>
          <w:w w:val="130"/>
          <w:szCs w:val="20"/>
        </w:rPr>
        <w:t>NY</w:t>
      </w:r>
    </w:p>
    <w:p w14:paraId="02BF0F48">
      <w:pPr>
        <w:autoSpaceDE w:val="0"/>
        <w:autoSpaceDN w:val="0"/>
        <w:adjustRightInd w:val="0"/>
        <w:jc w:val="center"/>
        <w:rPr>
          <w:rFonts w:eastAsia="黑体"/>
          <w:b w:val="0"/>
          <w:bCs w:val="0"/>
          <w:spacing w:val="100"/>
          <w:kern w:val="0"/>
          <w:sz w:val="44"/>
          <w:szCs w:val="44"/>
        </w:rPr>
      </w:pPr>
      <w:r>
        <w:rPr>
          <w:rFonts w:eastAsia="黑体"/>
          <w:b w:val="0"/>
          <w:bCs w:val="0"/>
          <w:spacing w:val="57"/>
          <w:kern w:val="0"/>
          <w:sz w:val="56"/>
          <w:szCs w:val="56"/>
        </w:rPr>
        <w:t>中华人民共和国农业行业标准</w:t>
      </w:r>
    </w:p>
    <w:p w14:paraId="36C4350A">
      <w:pPr>
        <w:pStyle w:val="16"/>
        <w:framePr w:w="0" w:hRule="auto" w:hSpace="0" w:wrap="auto" w:vAnchor="margin" w:hAnchor="text" w:xAlign="left" w:yAlign="inline"/>
        <w:widowControl w:val="0"/>
        <w:kinsoku w:val="0"/>
        <w:overflowPunct w:val="0"/>
        <w:autoSpaceDE w:val="0"/>
        <w:autoSpaceDN w:val="0"/>
        <w:adjustRightInd w:val="0"/>
        <w:ind w:right="554"/>
        <w:textAlignment w:val="center"/>
        <w:rPr>
          <w:rFonts w:ascii="Times New Roman"/>
          <w:b w:val="0"/>
          <w:bCs w:val="0"/>
          <w:szCs w:val="20"/>
        </w:rPr>
      </w:pPr>
      <w:r>
        <w:rPr>
          <w:rFonts w:hint="eastAsia" w:hAnsi="黑体" w:cs="黑体"/>
          <w:b w:val="0"/>
          <w:bCs w:val="0"/>
          <w:szCs w:val="20"/>
        </w:rPr>
        <w:t>NY/T  XXXX-202X</w:t>
      </w:r>
    </w:p>
    <w:p w14:paraId="668A518D">
      <w:pPr>
        <w:spacing w:line="380" w:lineRule="exact"/>
        <w:rPr>
          <w:b/>
          <w:sz w:val="32"/>
          <w:szCs w:val="32"/>
        </w:rPr>
      </w:pPr>
      <w:r>
        <w:rPr>
          <w:b/>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80010</wp:posOffset>
                </wp:positionV>
                <wp:extent cx="6012180" cy="19050"/>
                <wp:effectExtent l="0" t="4445" r="7620" b="14605"/>
                <wp:wrapNone/>
                <wp:docPr id="3" name="直接连接符 3"/>
                <wp:cNvGraphicFramePr/>
                <a:graphic xmlns:a="http://schemas.openxmlformats.org/drawingml/2006/main">
                  <a:graphicData uri="http://schemas.microsoft.com/office/word/2010/wordprocessingShape">
                    <wps:wsp>
                      <wps:cNvCnPr/>
                      <wps:spPr>
                        <a:xfrm flipV="1">
                          <a:off x="0" y="0"/>
                          <a:ext cx="6012180" cy="1905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0pt;margin-top:6.3pt;height:1.5pt;width:473.4pt;z-index:251659264;mso-width-relative:page;mso-height-relative:page;" filled="f" stroked="t" coordsize="21600,21600" o:gfxdata="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jWCgE1AAAAAYBAAAPAAAAAAAAAAEAIAAAACIAAABkcnMv&#10;ZG93bnJldi54bWxQSwECFAAUAAAACACHTuJAPY4ZKAcCAAAABAAADgAAAAAAAAABACAAAAAjAQAA&#10;ZHJzL2Uyb0RvYy54bWxQSwUGAAAAAAYABgBZAQAAnAUAAAAA&#10;">
                <v:fill on="f" focussize="0,0"/>
                <v:stroke color="#000000" joinstyle="round"/>
                <v:imagedata o:title=""/>
                <o:lock v:ext="edit" aspectratio="f"/>
              </v:line>
            </w:pict>
          </mc:Fallback>
        </mc:AlternateContent>
      </w:r>
    </w:p>
    <w:p w14:paraId="3EAC7A53">
      <w:pPr>
        <w:spacing w:line="380" w:lineRule="exact"/>
        <w:rPr>
          <w:b/>
          <w:sz w:val="44"/>
          <w:szCs w:val="44"/>
        </w:rPr>
      </w:pPr>
    </w:p>
    <w:p w14:paraId="64E2EF35">
      <w:pPr>
        <w:spacing w:line="360" w:lineRule="auto"/>
        <w:rPr>
          <w:sz w:val="44"/>
          <w:szCs w:val="44"/>
        </w:rPr>
      </w:pPr>
    </w:p>
    <w:p w14:paraId="4996F498">
      <w:pPr>
        <w:spacing w:line="360" w:lineRule="auto"/>
        <w:jc w:val="center"/>
        <w:rPr>
          <w:rFonts w:hint="default" w:hAnsi="黑体" w:eastAsia="黑体"/>
          <w:b w:val="0"/>
          <w:bCs w:val="0"/>
          <w:sz w:val="52"/>
          <w:szCs w:val="52"/>
          <w:lang w:val="en-US"/>
        </w:rPr>
      </w:pPr>
      <w:r>
        <w:rPr>
          <w:rFonts w:hint="eastAsia" w:hAnsi="黑体" w:eastAsia="黑体"/>
          <w:b w:val="0"/>
          <w:bCs w:val="0"/>
          <w:sz w:val="52"/>
          <w:szCs w:val="52"/>
          <w:lang w:val="en-US" w:eastAsia="zh-CN"/>
        </w:rPr>
        <w:t>受污染耕地安全利用技术导则</w:t>
      </w:r>
    </w:p>
    <w:p w14:paraId="214FCCDB">
      <w:pPr>
        <w:spacing w:line="380" w:lineRule="exact"/>
        <w:jc w:val="center"/>
        <w:outlineLvl w:val="0"/>
        <w:rPr>
          <w:b w:val="0"/>
          <w:bCs w:val="0"/>
          <w:sz w:val="24"/>
        </w:rPr>
      </w:pPr>
    </w:p>
    <w:p w14:paraId="14E73539">
      <w:pPr>
        <w:spacing w:line="380" w:lineRule="exact"/>
        <w:ind w:left="562" w:hanging="560" w:hangingChars="200"/>
        <w:jc w:val="center"/>
        <w:outlineLvl w:val="0"/>
        <w:rPr>
          <w:rFonts w:eastAsia="黑体"/>
          <w:b w:val="0"/>
          <w:bCs w:val="0"/>
          <w:sz w:val="28"/>
          <w:szCs w:val="28"/>
        </w:rPr>
      </w:pPr>
      <w:r>
        <w:rPr>
          <w:rFonts w:hint="eastAsia" w:eastAsia="黑体"/>
          <w:b w:val="0"/>
          <w:bCs w:val="0"/>
          <w:sz w:val="28"/>
          <w:szCs w:val="28"/>
          <w:lang w:val="en-US" w:eastAsia="zh-CN"/>
        </w:rPr>
        <w:t>G</w:t>
      </w:r>
      <w:r>
        <w:rPr>
          <w:rFonts w:hint="eastAsia" w:eastAsia="黑体"/>
          <w:b w:val="0"/>
          <w:bCs w:val="0"/>
          <w:sz w:val="28"/>
          <w:szCs w:val="28"/>
        </w:rPr>
        <w:t xml:space="preserve">uidelines for </w:t>
      </w:r>
      <w:r>
        <w:rPr>
          <w:rFonts w:hint="eastAsia" w:eastAsia="黑体"/>
          <w:b w:val="0"/>
          <w:bCs w:val="0"/>
          <w:sz w:val="28"/>
          <w:szCs w:val="28"/>
          <w:lang w:val="en-US" w:eastAsia="zh-CN"/>
        </w:rPr>
        <w:t>s</w:t>
      </w:r>
      <w:r>
        <w:rPr>
          <w:rFonts w:hint="eastAsia" w:eastAsia="黑体"/>
          <w:b w:val="0"/>
          <w:bCs w:val="0"/>
          <w:sz w:val="28"/>
          <w:szCs w:val="28"/>
        </w:rPr>
        <w:t xml:space="preserve">afe </w:t>
      </w:r>
      <w:r>
        <w:rPr>
          <w:rFonts w:hint="eastAsia" w:eastAsia="黑体"/>
          <w:b w:val="0"/>
          <w:bCs w:val="0"/>
          <w:sz w:val="28"/>
          <w:szCs w:val="28"/>
          <w:lang w:val="en-US" w:eastAsia="zh-CN"/>
        </w:rPr>
        <w:t>u</w:t>
      </w:r>
      <w:r>
        <w:rPr>
          <w:rFonts w:hint="eastAsia" w:eastAsia="黑体"/>
          <w:b w:val="0"/>
          <w:bCs w:val="0"/>
          <w:sz w:val="28"/>
          <w:szCs w:val="28"/>
        </w:rPr>
        <w:t xml:space="preserve">tilization of </w:t>
      </w:r>
      <w:r>
        <w:rPr>
          <w:rFonts w:hint="eastAsia" w:eastAsia="黑体"/>
          <w:b w:val="0"/>
          <w:bCs w:val="0"/>
          <w:sz w:val="28"/>
          <w:szCs w:val="28"/>
          <w:lang w:val="en-US" w:eastAsia="zh-CN"/>
        </w:rPr>
        <w:t>contaminated cultivated land</w:t>
      </w:r>
    </w:p>
    <w:p w14:paraId="713A906C">
      <w:pPr>
        <w:spacing w:line="380" w:lineRule="exact"/>
        <w:outlineLvl w:val="0"/>
        <w:rPr>
          <w:b w:val="0"/>
          <w:bCs w:val="0"/>
          <w:sz w:val="24"/>
        </w:rPr>
      </w:pPr>
    </w:p>
    <w:p w14:paraId="592DBE9D">
      <w:pPr>
        <w:spacing w:line="380" w:lineRule="exact"/>
        <w:outlineLvl w:val="0"/>
        <w:rPr>
          <w:b w:val="0"/>
          <w:bCs w:val="0"/>
          <w:sz w:val="24"/>
        </w:rPr>
      </w:pPr>
    </w:p>
    <w:p w14:paraId="66988767">
      <w:pPr>
        <w:spacing w:line="380" w:lineRule="exact"/>
        <w:jc w:val="center"/>
        <w:outlineLvl w:val="0"/>
        <w:rPr>
          <w:rFonts w:eastAsia="黑体"/>
          <w:b/>
          <w:bCs/>
          <w:sz w:val="32"/>
          <w:szCs w:val="32"/>
        </w:rPr>
      </w:pPr>
      <w:bookmarkStart w:id="0" w:name="_Toc20663828"/>
      <w:r>
        <w:rPr>
          <w:rFonts w:eastAsia="黑体"/>
          <w:b w:val="0"/>
          <w:bCs w:val="0"/>
          <w:sz w:val="32"/>
          <w:szCs w:val="32"/>
        </w:rPr>
        <w:t>（</w:t>
      </w:r>
      <w:r>
        <w:rPr>
          <w:rFonts w:ascii="Times New Roman" w:hAnsi="Times New Roman" w:eastAsia="黑体"/>
          <w:sz w:val="32"/>
          <w:szCs w:val="32"/>
        </w:rPr>
        <w:t>征求意见稿</w:t>
      </w:r>
      <w:r>
        <w:rPr>
          <w:rFonts w:eastAsia="黑体"/>
          <w:b w:val="0"/>
          <w:bCs w:val="0"/>
          <w:sz w:val="32"/>
          <w:szCs w:val="32"/>
        </w:rPr>
        <w:t>）</w:t>
      </w:r>
      <w:bookmarkEnd w:id="0"/>
    </w:p>
    <w:p w14:paraId="1D2D3999">
      <w:pPr>
        <w:spacing w:line="380" w:lineRule="exact"/>
        <w:outlineLvl w:val="0"/>
        <w:rPr>
          <w:b/>
          <w:sz w:val="24"/>
        </w:rPr>
      </w:pPr>
    </w:p>
    <w:p w14:paraId="7CAD631F">
      <w:pPr>
        <w:spacing w:line="380" w:lineRule="exact"/>
        <w:outlineLvl w:val="0"/>
        <w:rPr>
          <w:b/>
          <w:sz w:val="24"/>
        </w:rPr>
      </w:pPr>
    </w:p>
    <w:p w14:paraId="438B7A20">
      <w:pPr>
        <w:spacing w:line="380" w:lineRule="exact"/>
        <w:outlineLvl w:val="0"/>
        <w:rPr>
          <w:b/>
          <w:sz w:val="24"/>
        </w:rPr>
      </w:pPr>
    </w:p>
    <w:p w14:paraId="099A23D3">
      <w:pPr>
        <w:spacing w:line="380" w:lineRule="exact"/>
        <w:jc w:val="center"/>
        <w:outlineLvl w:val="0"/>
        <w:rPr>
          <w:rFonts w:hint="eastAsia"/>
          <w:b/>
          <w:sz w:val="24"/>
        </w:rPr>
      </w:pPr>
      <w:r>
        <w:rPr>
          <w:rFonts w:hint="eastAsia"/>
          <w:b/>
          <w:sz w:val="24"/>
        </w:rPr>
        <w:t>在提交反馈意见时，请将您知道的相关专利连同支持性文件一并附上。</w:t>
      </w:r>
    </w:p>
    <w:p w14:paraId="5CB1CB66">
      <w:pPr>
        <w:spacing w:line="380" w:lineRule="exact"/>
        <w:jc w:val="center"/>
        <w:outlineLvl w:val="0"/>
        <w:rPr>
          <w:b/>
          <w:sz w:val="24"/>
        </w:rPr>
      </w:pPr>
      <w:r>
        <w:rPr>
          <w:rFonts w:hint="eastAsia"/>
          <w:b/>
          <w:sz w:val="24"/>
        </w:rPr>
        <w:t>（注：征求意见时必须保留这句话。）</w:t>
      </w:r>
    </w:p>
    <w:p w14:paraId="620C5F5D">
      <w:pPr>
        <w:spacing w:line="380" w:lineRule="exact"/>
        <w:outlineLvl w:val="0"/>
        <w:rPr>
          <w:rFonts w:hint="eastAsia"/>
          <w:b/>
          <w:sz w:val="24"/>
        </w:rPr>
      </w:pPr>
    </w:p>
    <w:p w14:paraId="2C47F59A">
      <w:pPr>
        <w:spacing w:line="380" w:lineRule="exact"/>
        <w:outlineLvl w:val="0"/>
        <w:rPr>
          <w:b/>
          <w:sz w:val="24"/>
        </w:rPr>
      </w:pPr>
    </w:p>
    <w:p w14:paraId="43ECA0C3">
      <w:pPr>
        <w:spacing w:line="380" w:lineRule="exact"/>
        <w:outlineLvl w:val="0"/>
        <w:rPr>
          <w:b/>
          <w:sz w:val="24"/>
        </w:rPr>
      </w:pPr>
    </w:p>
    <w:p w14:paraId="70F097FC">
      <w:pPr>
        <w:spacing w:line="380" w:lineRule="exact"/>
        <w:outlineLvl w:val="0"/>
        <w:rPr>
          <w:b/>
          <w:sz w:val="24"/>
        </w:rPr>
      </w:pPr>
    </w:p>
    <w:p w14:paraId="76D57DDD">
      <w:pPr>
        <w:spacing w:line="380" w:lineRule="exact"/>
        <w:outlineLvl w:val="0"/>
        <w:rPr>
          <w:b/>
          <w:sz w:val="24"/>
        </w:rPr>
      </w:pPr>
    </w:p>
    <w:p w14:paraId="457DD5D7">
      <w:pPr>
        <w:spacing w:line="380" w:lineRule="exact"/>
        <w:jc w:val="center"/>
        <w:outlineLvl w:val="0"/>
        <w:rPr>
          <w:rFonts w:hint="eastAsia" w:ascii="黑体" w:hAnsi="黑体" w:eastAsia="黑体" w:cs="黑体"/>
          <w:b/>
          <w:sz w:val="28"/>
          <w:szCs w:val="28"/>
        </w:rPr>
      </w:pPr>
      <w:bookmarkStart w:id="1" w:name="_Toc20663829"/>
      <w:r>
        <w:rPr>
          <w:rFonts w:hint="eastAsia" w:ascii="黑体" w:hAnsi="黑体" w:eastAsia="黑体" w:cs="黑体"/>
          <w:kern w:val="0"/>
          <w:sz w:val="28"/>
          <w:szCs w:val="28"/>
        </w:rPr>
        <w:t>XXXX -XX-XX 发布                              XXXX -XX-XX 实施</w:t>
      </w:r>
      <w:bookmarkEnd w:id="1"/>
    </w:p>
    <w:p w14:paraId="6E26856A">
      <w:pPr>
        <w:spacing w:line="380" w:lineRule="exact"/>
        <w:outlineLvl w:val="0"/>
        <w:rPr>
          <w:b/>
          <w:sz w:val="24"/>
        </w:rPr>
      </w:pPr>
      <w:r>
        <w:rPr>
          <w:b/>
          <w:sz w:val="32"/>
          <w:szCs w:val="3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84455</wp:posOffset>
                </wp:positionV>
                <wp:extent cx="5400040" cy="0"/>
                <wp:effectExtent l="0" t="4445" r="0" b="5080"/>
                <wp:wrapNone/>
                <wp:docPr id="6" name="直接连接符 6"/>
                <wp:cNvGraphicFramePr/>
                <a:graphic xmlns:a="http://schemas.openxmlformats.org/drawingml/2006/main">
                  <a:graphicData uri="http://schemas.microsoft.com/office/word/2010/wordprocessingShape">
                    <wps:wsp>
                      <wps:cNvCnPr/>
                      <wps:spPr>
                        <a:xfrm>
                          <a:off x="0" y="0"/>
                          <a:ext cx="540004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top:6.65pt;height:0pt;width:425.2pt;mso-position-horizontal:center;mso-position-horizontal-relative:margin;z-index:251660288;mso-width-relative:page;mso-height-relative:page;" filled="f" stroked="t" coordsize="21600,21600" o:gfxdata="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hGVFj0wAAAAYBAAAPAAAAAAAAAAEAIAAAACIAAABkcnMvZG93bnJldi54bWxQSwEC&#10;FAAUAAAACACHTuJA3DJicfkBAADyAwAADgAAAAAAAAABACAAAAAiAQAAZHJzL2Uyb0RvYy54bWxQ&#10;SwUGAAAAAAYABgBZAQAAjQUAAAAA&#10;">
                <v:fill on="f" focussize="0,0"/>
                <v:stroke color="#000000" joinstyle="round"/>
                <v:imagedata o:title=""/>
                <o:lock v:ext="edit" aspectratio="f"/>
              </v:line>
            </w:pict>
          </mc:Fallback>
        </mc:AlternateContent>
      </w:r>
    </w:p>
    <w:p w14:paraId="43BC3433">
      <w:pPr>
        <w:widowControl/>
        <w:jc w:val="center"/>
        <w:rPr>
          <w:rFonts w:eastAsia="黑体"/>
          <w:spacing w:val="20"/>
          <w:w w:val="135"/>
          <w:kern w:val="0"/>
          <w:sz w:val="28"/>
          <w:szCs w:val="20"/>
        </w:rPr>
        <w:sectPr>
          <w:footerReference r:id="rId4" w:type="first"/>
          <w:footerReference r:id="rId3" w:type="default"/>
          <w:pgSz w:w="11906" w:h="16838"/>
          <w:pgMar w:top="1440" w:right="1080" w:bottom="1440" w:left="1080" w:header="1418" w:footer="964" w:gutter="0"/>
          <w:pgBorders>
            <w:top w:val="none" w:sz="0" w:space="0"/>
            <w:left w:val="none" w:sz="0" w:space="0"/>
            <w:bottom w:val="none" w:sz="0" w:space="0"/>
            <w:right w:val="none" w:sz="0" w:space="0"/>
          </w:pgBorders>
          <w:pgNumType w:fmt="numberInDash" w:start="6"/>
          <w:cols w:space="720" w:num="1"/>
          <w:formProt w:val="0"/>
          <w:titlePg/>
          <w:docGrid w:type="lines" w:linePitch="312" w:charSpace="0"/>
        </w:sectPr>
      </w:pPr>
      <w:r>
        <w:rPr>
          <w:rFonts w:eastAsia="黑体"/>
          <w:spacing w:val="20"/>
          <w:w w:val="135"/>
          <w:kern w:val="0"/>
          <w:sz w:val="28"/>
          <w:szCs w:val="28"/>
        </w:rPr>
        <w:t>中华人民共和国农业</w:t>
      </w:r>
      <w:r>
        <w:rPr>
          <w:rFonts w:hint="eastAsia" w:eastAsia="黑体"/>
          <w:spacing w:val="20"/>
          <w:w w:val="135"/>
          <w:kern w:val="0"/>
          <w:sz w:val="28"/>
          <w:szCs w:val="28"/>
        </w:rPr>
        <w:t>农村</w:t>
      </w:r>
      <w:r>
        <w:rPr>
          <w:rFonts w:eastAsia="黑体"/>
          <w:spacing w:val="20"/>
          <w:w w:val="135"/>
          <w:kern w:val="0"/>
          <w:sz w:val="28"/>
          <w:szCs w:val="28"/>
        </w:rPr>
        <w:t>部</w:t>
      </w:r>
      <w:r>
        <w:rPr>
          <w:rFonts w:hint="eastAsia" w:eastAsia="黑体"/>
          <w:spacing w:val="20"/>
          <w:w w:val="135"/>
          <w:kern w:val="0"/>
          <w:sz w:val="28"/>
          <w:szCs w:val="28"/>
        </w:rPr>
        <w:t xml:space="preserve"> </w:t>
      </w:r>
      <w:r>
        <w:rPr>
          <w:rFonts w:eastAsia="黑体"/>
          <w:spacing w:val="20"/>
          <w:w w:val="135"/>
          <w:kern w:val="0"/>
          <w:sz w:val="28"/>
          <w:szCs w:val="20"/>
        </w:rPr>
        <w:t>发布</w:t>
      </w:r>
    </w:p>
    <w:p w14:paraId="290BD8B2">
      <w:pPr>
        <w:rPr>
          <w:rFonts w:eastAsia="黑体"/>
          <w:sz w:val="28"/>
          <w:szCs w:val="20"/>
        </w:rPr>
        <w:sectPr>
          <w:footerReference r:id="rId5" w:type="default"/>
          <w:type w:val="continuous"/>
          <w:pgSz w:w="11906" w:h="16838"/>
          <w:pgMar w:top="1440" w:right="1080" w:bottom="1440" w:left="1080" w:header="1418" w:footer="964" w:gutter="0"/>
          <w:pgBorders>
            <w:top w:val="none" w:sz="0" w:space="0"/>
            <w:left w:val="none" w:sz="0" w:space="0"/>
            <w:bottom w:val="none" w:sz="0" w:space="0"/>
            <w:right w:val="none" w:sz="0" w:space="0"/>
          </w:pgBorders>
          <w:pgNumType w:fmt="numberInDash"/>
          <w:cols w:space="720" w:num="1"/>
          <w:formProt w:val="0"/>
          <w:docGrid w:type="lines" w:linePitch="312" w:charSpace="0"/>
        </w:sectPr>
      </w:pPr>
    </w:p>
    <w:p w14:paraId="301D7372">
      <w:pPr>
        <w:pStyle w:val="17"/>
        <w:rPr>
          <w:rFonts w:hint="eastAsia"/>
        </w:rPr>
      </w:pPr>
      <w:r>
        <w:rPr>
          <w:rFonts w:hint="eastAsia"/>
        </w:rPr>
        <w:t>前</w:t>
      </w:r>
      <w:bookmarkStart w:id="2" w:name="BKQY"/>
      <w:r>
        <w:t>  </w:t>
      </w:r>
      <w:r>
        <w:rPr>
          <w:rFonts w:hint="eastAsia"/>
        </w:rPr>
        <w:t>言</w:t>
      </w:r>
      <w:bookmarkEnd w:id="2"/>
    </w:p>
    <w:p w14:paraId="45CE392B">
      <w:pPr>
        <w:pStyle w:val="18"/>
        <w:rPr>
          <w:rFonts w:hint="eastAsia"/>
          <w:color w:val="000000"/>
        </w:rPr>
      </w:pPr>
      <w:r>
        <w:rPr>
          <w:rFonts w:hint="eastAsia"/>
        </w:rPr>
        <w:t>本文件</w:t>
      </w:r>
      <w:r>
        <w:rPr>
          <w:color w:val="000000"/>
        </w:rPr>
        <w:t>按照GB/T 1.1-20</w:t>
      </w:r>
      <w:r>
        <w:rPr>
          <w:rFonts w:hint="eastAsia"/>
          <w:color w:val="000000"/>
        </w:rPr>
        <w:t>20《标准化工作导则  第1部分：标准化文件的结构和起草规则》</w:t>
      </w:r>
      <w:r>
        <w:rPr>
          <w:color w:val="000000"/>
        </w:rPr>
        <w:t>的规</w:t>
      </w:r>
      <w:r>
        <w:rPr>
          <w:rFonts w:hint="eastAsia"/>
          <w:color w:val="000000"/>
        </w:rPr>
        <w:t>定</w:t>
      </w:r>
      <w:r>
        <w:rPr>
          <w:color w:val="000000"/>
        </w:rPr>
        <w:t>起草。</w:t>
      </w:r>
    </w:p>
    <w:p w14:paraId="1414B777">
      <w:pPr>
        <w:pStyle w:val="18"/>
        <w:rPr>
          <w:rFonts w:hint="eastAsia"/>
          <w:color w:val="000000"/>
        </w:rPr>
      </w:pPr>
      <w:r>
        <w:rPr>
          <w:rFonts w:hint="eastAsia"/>
          <w:color w:val="000000"/>
        </w:rPr>
        <w:t>请注意本文件的某些内容可能涉及专利。本文件的发布机构不承担识别专利的责任。</w:t>
      </w:r>
    </w:p>
    <w:p w14:paraId="73FE0F5E">
      <w:pPr>
        <w:pStyle w:val="18"/>
        <w:rPr>
          <w:rFonts w:hint="eastAsia"/>
          <w:color w:val="000000"/>
          <w:lang w:eastAsia="zh-CN"/>
        </w:rPr>
      </w:pPr>
      <w:r>
        <w:rPr>
          <w:rFonts w:hint="eastAsia"/>
          <w:color w:val="000000"/>
        </w:rPr>
        <w:t>本文件</w:t>
      </w:r>
      <w:r>
        <w:rPr>
          <w:color w:val="000000"/>
        </w:rPr>
        <w:t>由农业</w:t>
      </w:r>
      <w:r>
        <w:rPr>
          <w:rFonts w:hint="eastAsia"/>
          <w:color w:val="000000"/>
        </w:rPr>
        <w:t>农村</w:t>
      </w:r>
      <w:r>
        <w:rPr>
          <w:color w:val="000000"/>
        </w:rPr>
        <w:t>部</w:t>
      </w:r>
      <w:r>
        <w:rPr>
          <w:rFonts w:hint="eastAsia"/>
          <w:color w:val="000000"/>
          <w:lang w:eastAsia="zh-CN"/>
        </w:rPr>
        <w:t>科学技术</w:t>
      </w:r>
      <w:r>
        <w:rPr>
          <w:color w:val="000000"/>
        </w:rPr>
        <w:t>司提出</w:t>
      </w:r>
      <w:r>
        <w:rPr>
          <w:rFonts w:hint="eastAsia"/>
          <w:color w:val="000000"/>
          <w:lang w:eastAsia="zh-CN"/>
        </w:rPr>
        <w:t>。</w:t>
      </w:r>
    </w:p>
    <w:p w14:paraId="4F3F84AF">
      <w:pPr>
        <w:pStyle w:val="18"/>
        <w:rPr>
          <w:rFonts w:hint="eastAsia"/>
          <w:color w:val="000000"/>
        </w:rPr>
      </w:pPr>
      <w:r>
        <w:rPr>
          <w:rFonts w:hint="eastAsia"/>
          <w:color w:val="000000"/>
          <w:lang w:eastAsia="zh-CN"/>
        </w:rPr>
        <w:t>本文件由农业农村部农业资源环境标准化技术委员会</w:t>
      </w:r>
      <w:r>
        <w:rPr>
          <w:color w:val="000000"/>
        </w:rPr>
        <w:t>归口。</w:t>
      </w:r>
    </w:p>
    <w:p w14:paraId="3BBCE699">
      <w:pPr>
        <w:pStyle w:val="18"/>
        <w:rPr>
          <w:rFonts w:hint="default" w:eastAsia="宋体"/>
          <w:color w:val="000000"/>
          <w:highlight w:val="yellow"/>
          <w:lang w:val="en-US" w:eastAsia="zh-CN"/>
        </w:rPr>
      </w:pPr>
      <w:r>
        <w:rPr>
          <w:rFonts w:hint="eastAsia"/>
          <w:color w:val="000000"/>
        </w:rPr>
        <w:t>本</w:t>
      </w:r>
      <w:r>
        <w:rPr>
          <w:rFonts w:hint="eastAsia"/>
          <w:color w:val="000000"/>
          <w:lang w:eastAsia="zh-CN"/>
        </w:rPr>
        <w:t>文件</w:t>
      </w:r>
      <w:r>
        <w:rPr>
          <w:rFonts w:hint="eastAsia"/>
          <w:color w:val="000000"/>
        </w:rPr>
        <w:t>起草单位：</w:t>
      </w:r>
      <w:r>
        <w:rPr>
          <w:rFonts w:hint="eastAsia"/>
          <w:highlight w:val="none"/>
          <w:lang w:eastAsia="zh-CN"/>
        </w:rPr>
        <w:t>农业农村部农业生态与资源保护总站、</w:t>
      </w:r>
      <w:r>
        <w:rPr>
          <w:rFonts w:hint="eastAsia"/>
          <w:highlight w:val="none"/>
          <w:lang w:val="en-US" w:eastAsia="zh-CN"/>
        </w:rPr>
        <w:t>农业农村部环境保护科研监测所、中国科学院地理科学与资源研究所、广东省科学院生态环境与土壤研究所。</w:t>
      </w:r>
      <w:bookmarkStart w:id="3" w:name="_GoBack"/>
      <w:bookmarkEnd w:id="3"/>
    </w:p>
    <w:p w14:paraId="39B95EC2">
      <w:pPr>
        <w:pStyle w:val="18"/>
        <w:rPr>
          <w:rFonts w:hint="eastAsia" w:eastAsia="宋体"/>
          <w:color w:val="000000"/>
          <w:highlight w:val="none"/>
          <w:lang w:eastAsia="zh-CN"/>
        </w:rPr>
      </w:pPr>
      <w:r>
        <w:rPr>
          <w:rFonts w:hint="eastAsia"/>
          <w:color w:val="000000"/>
        </w:rPr>
        <w:t>本</w:t>
      </w:r>
      <w:r>
        <w:rPr>
          <w:rFonts w:hint="eastAsia"/>
          <w:color w:val="000000"/>
          <w:lang w:eastAsia="zh-CN"/>
        </w:rPr>
        <w:t>文件</w:t>
      </w:r>
      <w:r>
        <w:rPr>
          <w:rFonts w:hint="eastAsia"/>
          <w:color w:val="000000"/>
        </w:rPr>
        <w:t>主要起草人：</w:t>
      </w:r>
      <w:r>
        <w:rPr>
          <w:rFonts w:hint="eastAsia"/>
          <w:highlight w:val="none"/>
        </w:rPr>
        <w:t>李晓华、郑顺安、</w:t>
      </w:r>
      <w:r>
        <w:rPr>
          <w:rFonts w:hint="eastAsia"/>
          <w:highlight w:val="none"/>
          <w:lang w:val="en-US" w:eastAsia="zh-CN"/>
        </w:rPr>
        <w:t>闫成、杜美琪、</w:t>
      </w:r>
      <w:r>
        <w:rPr>
          <w:rFonts w:hint="eastAsia"/>
          <w:highlight w:val="none"/>
        </w:rPr>
        <w:t>吴泽嬴、</w:t>
      </w:r>
      <w:r>
        <w:rPr>
          <w:rFonts w:hint="eastAsia"/>
          <w:highlight w:val="none"/>
          <w:lang w:val="en-US" w:eastAsia="zh-CN"/>
        </w:rPr>
        <w:t>师荣光、</w:t>
      </w:r>
      <w:r>
        <w:rPr>
          <w:rFonts w:hint="eastAsia"/>
          <w:highlight w:val="none"/>
        </w:rPr>
        <w:t>祝凌、廖晓勇、</w:t>
      </w:r>
      <w:r>
        <w:rPr>
          <w:rFonts w:hint="eastAsia"/>
          <w:highlight w:val="none"/>
          <w:lang w:val="en-US" w:eastAsia="zh-CN"/>
        </w:rPr>
        <w:t>李晓阳、</w:t>
      </w:r>
      <w:r>
        <w:rPr>
          <w:rFonts w:hint="eastAsia"/>
          <w:highlight w:val="none"/>
        </w:rPr>
        <w:t>李芳柏</w:t>
      </w:r>
      <w:r>
        <w:rPr>
          <w:rFonts w:hint="eastAsia"/>
          <w:highlight w:val="none"/>
          <w:lang w:eastAsia="zh-CN"/>
        </w:rPr>
        <w:t>、</w:t>
      </w:r>
      <w:r>
        <w:rPr>
          <w:rFonts w:hint="eastAsia"/>
          <w:highlight w:val="none"/>
          <w:lang w:val="en-US" w:eastAsia="zh-CN"/>
        </w:rPr>
        <w:t>郑向群、刘传平、张爽爽、郑超、窦飞、马建忠、吴欣</w:t>
      </w:r>
      <w:r>
        <w:rPr>
          <w:rFonts w:hint="eastAsia"/>
          <w:highlight w:val="none"/>
          <w:lang w:eastAsia="zh-CN"/>
        </w:rPr>
        <w:t>。</w:t>
      </w:r>
    </w:p>
    <w:p w14:paraId="2DA33217">
      <w:pPr>
        <w:pStyle w:val="19"/>
        <w:rPr>
          <w:rFonts w:hint="eastAsia"/>
        </w:rPr>
      </w:pPr>
      <w:r>
        <w:rPr>
          <w:rFonts w:hint="eastAsia"/>
          <w:lang w:val="en-US" w:eastAsia="zh-CN"/>
        </w:rPr>
        <w:t>受污染耕地安全利用技术导则</w:t>
      </w:r>
    </w:p>
    <w:p w14:paraId="04F6AC4E">
      <w:pPr>
        <w:pStyle w:val="20"/>
        <w:numPr>
          <w:ilvl w:val="0"/>
          <w:numId w:val="0"/>
        </w:numPr>
        <w:ind w:leftChars="0"/>
        <w:rPr>
          <w:rFonts w:hint="eastAsia"/>
        </w:rPr>
      </w:pPr>
      <w:r>
        <w:rPr>
          <w:rFonts w:hint="default"/>
          <w:lang w:val="en-US"/>
        </w:rPr>
        <w:t xml:space="preserve">1  </w:t>
      </w:r>
      <w:r>
        <w:rPr>
          <w:rFonts w:hint="eastAsia"/>
        </w:rPr>
        <w:t>范围</w:t>
      </w:r>
    </w:p>
    <w:p w14:paraId="25F2CDDE">
      <w:pPr>
        <w:pStyle w:val="18"/>
        <w:rPr>
          <w:rFonts w:hint="eastAsia"/>
        </w:rPr>
      </w:pPr>
      <w:r>
        <w:rPr>
          <w:rFonts w:hint="eastAsia"/>
        </w:rPr>
        <w:t>本</w:t>
      </w:r>
      <w:r>
        <w:rPr>
          <w:rFonts w:hint="eastAsia"/>
          <w:lang w:eastAsia="zh-CN"/>
        </w:rPr>
        <w:t>文件</w:t>
      </w:r>
      <w:r>
        <w:rPr>
          <w:rFonts w:hint="eastAsia"/>
        </w:rPr>
        <w:t>规定了</w:t>
      </w:r>
      <w:r>
        <w:rPr>
          <w:rFonts w:hint="eastAsia"/>
          <w:lang w:val="en-US" w:eastAsia="zh-CN"/>
        </w:rPr>
        <w:t>受</w:t>
      </w:r>
      <w:r>
        <w:rPr>
          <w:rFonts w:hint="eastAsia"/>
          <w:lang w:eastAsia="zh-CN"/>
        </w:rPr>
        <w:t>污染耕地安全利用的基本原则、</w:t>
      </w:r>
      <w:r>
        <w:rPr>
          <w:rFonts w:hint="eastAsia"/>
          <w:lang w:val="en-US" w:eastAsia="zh-CN"/>
        </w:rPr>
        <w:t>工作程序、技术应用、效果评价</w:t>
      </w:r>
      <w:r>
        <w:rPr>
          <w:rFonts w:hint="eastAsia"/>
          <w:lang w:eastAsia="zh-CN"/>
        </w:rPr>
        <w:t>等要求</w:t>
      </w:r>
      <w:r>
        <w:rPr>
          <w:rFonts w:hint="eastAsia"/>
        </w:rPr>
        <w:t>。</w:t>
      </w:r>
    </w:p>
    <w:p w14:paraId="54E38EC1">
      <w:pPr>
        <w:pStyle w:val="18"/>
        <w:rPr>
          <w:rFonts w:hint="eastAsia" w:eastAsia="宋体"/>
          <w:lang w:eastAsia="zh-CN"/>
        </w:rPr>
      </w:pPr>
      <w:r>
        <w:rPr>
          <w:rFonts w:hint="eastAsia"/>
        </w:rPr>
        <w:t>本</w:t>
      </w:r>
      <w:r>
        <w:rPr>
          <w:rFonts w:hint="eastAsia"/>
          <w:lang w:eastAsia="zh-CN"/>
        </w:rPr>
        <w:t>文件</w:t>
      </w:r>
      <w:r>
        <w:rPr>
          <w:rFonts w:hint="eastAsia"/>
        </w:rPr>
        <w:t>适用于</w:t>
      </w:r>
      <w:r>
        <w:rPr>
          <w:rFonts w:hint="eastAsia"/>
          <w:lang w:eastAsia="zh-CN"/>
        </w:rPr>
        <w:t>安全利用类耕地，种植食用农产品的严格管控类耕地可参照执行</w:t>
      </w:r>
      <w:r>
        <w:rPr>
          <w:rFonts w:hint="eastAsia"/>
        </w:rPr>
        <w:t>。</w:t>
      </w:r>
    </w:p>
    <w:p w14:paraId="36F2F088">
      <w:pPr>
        <w:pStyle w:val="20"/>
        <w:numPr>
          <w:ilvl w:val="0"/>
          <w:numId w:val="0"/>
        </w:numPr>
        <w:ind w:leftChars="0"/>
        <w:rPr>
          <w:rFonts w:hint="eastAsia"/>
        </w:rPr>
      </w:pPr>
      <w:r>
        <w:rPr>
          <w:rFonts w:hint="default"/>
          <w:lang w:val="en-US"/>
        </w:rPr>
        <w:t xml:space="preserve">2  </w:t>
      </w:r>
      <w:r>
        <w:rPr>
          <w:rFonts w:hint="eastAsia"/>
        </w:rPr>
        <w:t>规范性引用文件</w:t>
      </w:r>
    </w:p>
    <w:p w14:paraId="2AB1C55C">
      <w:pPr>
        <w:pStyle w:val="18"/>
        <w:adjustRightInd w:val="0"/>
        <w:snapToGrid w:val="0"/>
        <w:rPr>
          <w:rFonts w:hint="default" w:ascii="Times New Roman" w:hAnsi="Times New Roman" w:cs="Times New Roman"/>
        </w:rPr>
      </w:pPr>
      <w:r>
        <w:rPr>
          <w:rFonts w:hint="default" w:ascii="Times New Roman" w:hAnsi="Times New Roman" w:cs="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341B6C5C">
      <w:pPr>
        <w:pStyle w:val="18"/>
        <w:adjustRightInd w:val="0"/>
        <w:snapToGrid w:val="0"/>
        <w:rPr>
          <w:rFonts w:hint="default" w:ascii="Times New Roman" w:hAnsi="Times New Roman" w:cs="Times New Roman"/>
          <w:lang w:val="en-US" w:eastAsia="zh-CN"/>
        </w:rPr>
      </w:pPr>
      <w:r>
        <w:rPr>
          <w:rFonts w:hint="default" w:ascii="Times New Roman" w:hAnsi="Times New Roman" w:cs="Times New Roman"/>
          <w:lang w:val="en-US" w:eastAsia="zh-CN"/>
        </w:rPr>
        <w:t>GB 5084</w:t>
      </w:r>
      <w:r>
        <w:rPr>
          <w:rFonts w:hint="eastAsia" w:ascii="Times New Roman" w:cs="Times New Roman"/>
          <w:lang w:val="en-US" w:eastAsia="zh-CN"/>
        </w:rPr>
        <w:t xml:space="preserve">  农田灌溉水质标准</w:t>
      </w:r>
    </w:p>
    <w:p w14:paraId="3871EE56">
      <w:pPr>
        <w:pStyle w:val="18"/>
        <w:adjustRightInd w:val="0"/>
        <w:snapToGrid w:val="0"/>
        <w:rPr>
          <w:rFonts w:hint="default" w:ascii="Times New Roman" w:hAnsi="Times New Roman" w:cs="Times New Roman"/>
          <w:lang w:val="en-US" w:eastAsia="zh-CN"/>
        </w:rPr>
      </w:pPr>
      <w:r>
        <w:rPr>
          <w:rFonts w:hint="default" w:ascii="Times New Roman" w:hAnsi="Times New Roman" w:cs="Times New Roman"/>
          <w:lang w:val="en-US" w:eastAsia="zh-CN"/>
        </w:rPr>
        <w:t xml:space="preserve">GB </w:t>
      </w:r>
      <w:r>
        <w:rPr>
          <w:rFonts w:hint="eastAsia" w:ascii="Times New Roman" w:cs="Times New Roman"/>
          <w:lang w:val="en-US" w:eastAsia="zh-CN"/>
        </w:rPr>
        <w:t>15618</w:t>
      </w:r>
      <w:r>
        <w:rPr>
          <w:rFonts w:hint="default" w:ascii="Times New Roman" w:hAnsi="Times New Roman" w:cs="Times New Roman"/>
          <w:lang w:val="en-US" w:eastAsia="zh-CN"/>
        </w:rPr>
        <w:t xml:space="preserve">  土壤环境质量 </w:t>
      </w:r>
      <w:r>
        <w:rPr>
          <w:rFonts w:hint="eastAsia" w:ascii="Times New Roman" w:cs="Times New Roman"/>
          <w:lang w:val="en-US" w:eastAsia="zh-CN"/>
        </w:rPr>
        <w:t xml:space="preserve"> </w:t>
      </w:r>
      <w:r>
        <w:rPr>
          <w:rFonts w:hint="default" w:ascii="Times New Roman" w:hAnsi="Times New Roman" w:cs="Times New Roman"/>
          <w:lang w:val="en-US" w:eastAsia="zh-CN"/>
        </w:rPr>
        <w:t>农用地土壤污染风险管控标准（试行）</w:t>
      </w:r>
    </w:p>
    <w:p w14:paraId="037F1C26">
      <w:pPr>
        <w:pStyle w:val="18"/>
        <w:adjustRightInd w:val="0"/>
        <w:snapToGrid w:val="0"/>
        <w:rPr>
          <w:rFonts w:hint="default" w:ascii="Times New Roman" w:cs="Times New Roman"/>
          <w:lang w:val="en-US" w:eastAsia="zh-CN"/>
        </w:rPr>
      </w:pPr>
      <w:r>
        <w:rPr>
          <w:rFonts w:hint="default" w:ascii="Times New Roman" w:hAnsi="Times New Roman" w:cs="Times New Roman"/>
          <w:lang w:val="en-US" w:eastAsia="zh-CN"/>
        </w:rPr>
        <w:t>GB/T 43419.</w:t>
      </w:r>
      <w:r>
        <w:rPr>
          <w:rFonts w:hint="eastAsia" w:ascii="Times New Roman" w:cs="Times New Roman"/>
          <w:lang w:val="en-US" w:eastAsia="zh-CN"/>
        </w:rPr>
        <w:t xml:space="preserve">2  </w:t>
      </w:r>
      <w:r>
        <w:rPr>
          <w:rFonts w:hint="default" w:ascii="Times New Roman" w:cs="Times New Roman"/>
          <w:lang w:val="en-US" w:eastAsia="zh-CN"/>
        </w:rPr>
        <w:t>稻田重金属治理</w:t>
      </w:r>
      <w:r>
        <w:rPr>
          <w:rFonts w:hint="eastAsia" w:ascii="Times New Roman" w:cs="Times New Roman"/>
          <w:lang w:val="en-US" w:eastAsia="zh-CN"/>
        </w:rPr>
        <w:t xml:space="preserve"> </w:t>
      </w:r>
      <w:r>
        <w:rPr>
          <w:rFonts w:hint="default" w:ascii="Times New Roman" w:cs="Times New Roman"/>
          <w:lang w:val="en-US" w:eastAsia="zh-CN"/>
        </w:rPr>
        <w:t xml:space="preserve"> 第2部分：钝化调理</w:t>
      </w:r>
    </w:p>
    <w:p w14:paraId="02E43568">
      <w:pPr>
        <w:pStyle w:val="18"/>
        <w:adjustRightInd w:val="0"/>
        <w:snapToGrid w:val="0"/>
        <w:rPr>
          <w:rFonts w:hint="eastAsia" w:ascii="Times New Roman" w:cs="Times New Roman"/>
          <w:lang w:val="en-US" w:eastAsia="zh-CN"/>
        </w:rPr>
      </w:pPr>
      <w:r>
        <w:rPr>
          <w:rFonts w:hint="default" w:ascii="Times New Roman" w:hAnsi="Times New Roman" w:cs="Times New Roman"/>
          <w:lang w:val="en-US" w:eastAsia="zh-CN"/>
        </w:rPr>
        <w:t>GB/T 43419.3</w:t>
      </w:r>
      <w:r>
        <w:rPr>
          <w:rFonts w:hint="eastAsia" w:ascii="Times New Roman" w:cs="Times New Roman"/>
          <w:lang w:val="en-US" w:eastAsia="zh-CN"/>
        </w:rPr>
        <w:t xml:space="preserve">  稻田重金属治理  第3部分：生理阻隔</w:t>
      </w:r>
    </w:p>
    <w:p w14:paraId="01DB1E2E">
      <w:pPr>
        <w:pStyle w:val="18"/>
        <w:adjustRightInd w:val="0"/>
        <w:snapToGrid w:val="0"/>
        <w:rPr>
          <w:rFonts w:hint="default" w:ascii="Times New Roman" w:cs="Times New Roman"/>
          <w:lang w:val="en-US" w:eastAsia="zh-CN"/>
        </w:rPr>
      </w:pPr>
      <w:r>
        <w:rPr>
          <w:rFonts w:hint="default" w:ascii="Times New Roman" w:cs="Times New Roman"/>
          <w:lang w:val="en-US" w:eastAsia="zh-CN"/>
        </w:rPr>
        <w:t>NY/T 3343  耕地污染治理效果评价准则</w:t>
      </w:r>
    </w:p>
    <w:p w14:paraId="61D1EE4A">
      <w:pPr>
        <w:pStyle w:val="18"/>
        <w:adjustRightInd w:val="0"/>
        <w:snapToGrid w:val="0"/>
        <w:rPr>
          <w:rFonts w:hint="eastAsia" w:ascii="Times New Roman" w:cs="Times New Roman"/>
          <w:lang w:val="en-US" w:eastAsia="zh-CN"/>
        </w:rPr>
      </w:pPr>
      <w:r>
        <w:rPr>
          <w:rFonts w:hint="default" w:ascii="Times New Roman" w:cs="Times New Roman"/>
          <w:lang w:val="en-US" w:eastAsia="zh-CN"/>
        </w:rPr>
        <w:t>NY/T 3499</w:t>
      </w:r>
      <w:r>
        <w:rPr>
          <w:rFonts w:hint="eastAsia" w:ascii="Times New Roman" w:cs="Times New Roman"/>
          <w:lang w:val="en-US" w:eastAsia="zh-CN"/>
        </w:rPr>
        <w:t xml:space="preserve">  受污染耕地治理与修复导则</w:t>
      </w:r>
    </w:p>
    <w:p w14:paraId="4FEAE24F">
      <w:pPr>
        <w:pStyle w:val="20"/>
        <w:numPr>
          <w:ilvl w:val="0"/>
          <w:numId w:val="0"/>
        </w:numPr>
        <w:rPr>
          <w:rFonts w:hint="eastAsia" w:ascii="黑体" w:eastAsia="黑体"/>
        </w:rPr>
      </w:pPr>
      <w:r>
        <w:rPr>
          <w:rFonts w:hint="eastAsia" w:ascii="黑体" w:eastAsia="黑体"/>
        </w:rPr>
        <w:t>3  术语和定义</w:t>
      </w:r>
    </w:p>
    <w:p w14:paraId="0755B54F">
      <w:pPr>
        <w:pStyle w:val="18"/>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下列术语和定义适用于本文件。</w:t>
      </w:r>
    </w:p>
    <w:p w14:paraId="5F32C842">
      <w:pPr>
        <w:pStyle w:val="18"/>
        <w:keepNext w:val="0"/>
        <w:keepLines w:val="0"/>
        <w:pageBreakBefore w:val="0"/>
        <w:widowControl/>
        <w:kinsoku/>
        <w:wordWrap/>
        <w:overflowPunct/>
        <w:topLinePunct w:val="0"/>
        <w:autoSpaceDE w:val="0"/>
        <w:autoSpaceDN w:val="0"/>
        <w:bidi w:val="0"/>
        <w:adjustRightInd/>
        <w:snapToGrid/>
        <w:spacing w:line="240" w:lineRule="auto"/>
        <w:ind w:left="0" w:leftChars="0" w:firstLine="0" w:firstLineChars="0"/>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 xml:space="preserve">3.1 </w:t>
      </w:r>
    </w:p>
    <w:p w14:paraId="34DC64AE">
      <w:pPr>
        <w:pStyle w:val="18"/>
        <w:keepNext w:val="0"/>
        <w:keepLines w:val="0"/>
        <w:pageBreakBefore w:val="0"/>
        <w:widowControl/>
        <w:kinsoku/>
        <w:wordWrap/>
        <w:overflowPunct/>
        <w:topLinePunct w:val="0"/>
        <w:autoSpaceDE w:val="0"/>
        <w:autoSpaceDN w:val="0"/>
        <w:bidi w:val="0"/>
        <w:adjustRightInd/>
        <w:snapToGrid/>
        <w:spacing w:line="240" w:lineRule="auto"/>
        <w:ind w:left="0" w:leftChars="0" w:firstLine="0" w:firstLineChars="0"/>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 xml:space="preserve">    污染耕地</w:t>
      </w:r>
      <w:r>
        <w:rPr>
          <w:rFonts w:hint="default" w:ascii="黑体" w:hAnsi="黑体" w:eastAsia="黑体" w:cs="黑体"/>
          <w:sz w:val="21"/>
          <w:szCs w:val="21"/>
          <w:lang w:val="en-US" w:eastAsia="zh-CN"/>
        </w:rPr>
        <w:t xml:space="preserve">  </w:t>
      </w:r>
      <w:r>
        <w:rPr>
          <w:rFonts w:hint="default" w:ascii="Times New Roman" w:hAnsi="Times New Roman" w:eastAsia="黑体" w:cs="Times New Roman"/>
          <w:sz w:val="21"/>
          <w:szCs w:val="21"/>
          <w:lang w:val="en-US" w:eastAsia="zh-CN"/>
        </w:rPr>
        <w:t>polluted farmland</w:t>
      </w:r>
    </w:p>
    <w:p w14:paraId="500A258A">
      <w:pPr>
        <w:pStyle w:val="18"/>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hAnsi="宋体" w:cs="宋体"/>
          <w:sz w:val="21"/>
          <w:szCs w:val="21"/>
          <w:lang w:eastAsia="zh-CN"/>
        </w:rPr>
      </w:pPr>
      <w:r>
        <w:rPr>
          <w:rFonts w:hint="eastAsia" w:hAnsi="宋体" w:cs="宋体"/>
          <w:sz w:val="21"/>
          <w:szCs w:val="21"/>
          <w:lang w:eastAsia="zh-CN"/>
        </w:rPr>
        <w:t>土壤环境质量类别为安全利用类和严格管控类的耕地。</w:t>
      </w:r>
    </w:p>
    <w:p w14:paraId="740110BD">
      <w:pPr>
        <w:pStyle w:val="18"/>
        <w:keepNext w:val="0"/>
        <w:keepLines w:val="0"/>
        <w:pageBreakBefore w:val="0"/>
        <w:widowControl/>
        <w:kinsoku/>
        <w:wordWrap/>
        <w:overflowPunct/>
        <w:topLinePunct w:val="0"/>
        <w:autoSpaceDE w:val="0"/>
        <w:autoSpaceDN w:val="0"/>
        <w:bidi w:val="0"/>
        <w:adjustRightInd/>
        <w:snapToGrid/>
        <w:spacing w:line="240" w:lineRule="auto"/>
        <w:ind w:left="0" w:leftChars="0" w:firstLine="0" w:firstLineChars="0"/>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 xml:space="preserve">3.2 </w:t>
      </w:r>
    </w:p>
    <w:p w14:paraId="61BDC78D">
      <w:pPr>
        <w:pStyle w:val="18"/>
        <w:keepNext w:val="0"/>
        <w:keepLines w:val="0"/>
        <w:pageBreakBefore w:val="0"/>
        <w:widowControl/>
        <w:kinsoku/>
        <w:wordWrap/>
        <w:overflowPunct/>
        <w:topLinePunct w:val="0"/>
        <w:autoSpaceDE w:val="0"/>
        <w:autoSpaceDN w:val="0"/>
        <w:bidi w:val="0"/>
        <w:adjustRightInd/>
        <w:snapToGrid/>
        <w:spacing w:line="240" w:lineRule="auto"/>
        <w:ind w:left="0" w:leftChars="0" w:firstLine="0" w:firstLineChars="0"/>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 xml:space="preserve">    安全利用措施</w:t>
      </w:r>
      <w:r>
        <w:rPr>
          <w:rFonts w:hint="default" w:ascii="黑体" w:hAnsi="黑体" w:eastAsia="黑体" w:cs="黑体"/>
          <w:sz w:val="21"/>
          <w:szCs w:val="21"/>
          <w:lang w:val="en-US" w:eastAsia="zh-CN"/>
        </w:rPr>
        <w:t xml:space="preserve">  </w:t>
      </w:r>
      <w:r>
        <w:rPr>
          <w:rFonts w:hint="default" w:ascii="Times New Roman" w:hAnsi="Times New Roman" w:eastAsia="黑体" w:cs="Times New Roman"/>
          <w:sz w:val="21"/>
          <w:szCs w:val="21"/>
          <w:lang w:val="en-US" w:eastAsia="zh-CN"/>
        </w:rPr>
        <w:t>safe utilization measures</w:t>
      </w:r>
    </w:p>
    <w:p w14:paraId="3EFB2FB6">
      <w:pPr>
        <w:pStyle w:val="18"/>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hAnsi="宋体" w:cs="宋体"/>
          <w:sz w:val="21"/>
          <w:szCs w:val="21"/>
          <w:lang w:eastAsia="zh-CN"/>
        </w:rPr>
      </w:pPr>
      <w:r>
        <w:rPr>
          <w:rFonts w:hint="eastAsia" w:hAnsi="宋体" w:cs="宋体"/>
          <w:sz w:val="21"/>
          <w:szCs w:val="21"/>
          <w:lang w:eastAsia="zh-CN"/>
        </w:rPr>
        <w:t>针对受污染耕地采取的能够减少污染物和其他有毒有害物质进入农作物可食用部分，降低农产品超标风险，对农业生产和土壤生产功能影响小的技术</w:t>
      </w:r>
      <w:r>
        <w:rPr>
          <w:rFonts w:hint="eastAsia" w:hAnsi="宋体" w:cs="宋体"/>
          <w:sz w:val="21"/>
          <w:szCs w:val="21"/>
          <w:lang w:val="en-US" w:eastAsia="zh-CN"/>
        </w:rPr>
        <w:t>措施</w:t>
      </w:r>
      <w:r>
        <w:rPr>
          <w:rFonts w:hint="eastAsia" w:hAnsi="宋体" w:cs="宋体"/>
          <w:sz w:val="21"/>
          <w:szCs w:val="21"/>
          <w:lang w:eastAsia="zh-CN"/>
        </w:rPr>
        <w:t>。</w:t>
      </w:r>
    </w:p>
    <w:p w14:paraId="53252A38">
      <w:pPr>
        <w:pStyle w:val="18"/>
        <w:keepNext w:val="0"/>
        <w:keepLines w:val="0"/>
        <w:pageBreakBefore w:val="0"/>
        <w:widowControl/>
        <w:kinsoku/>
        <w:wordWrap/>
        <w:overflowPunct/>
        <w:topLinePunct w:val="0"/>
        <w:autoSpaceDE w:val="0"/>
        <w:autoSpaceDN w:val="0"/>
        <w:bidi w:val="0"/>
        <w:adjustRightInd/>
        <w:snapToGrid/>
        <w:spacing w:line="240" w:lineRule="auto"/>
        <w:ind w:left="0" w:leftChars="0" w:firstLine="0" w:firstLineChars="0"/>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 xml:space="preserve">3.3 </w:t>
      </w:r>
    </w:p>
    <w:p w14:paraId="3364CDF7">
      <w:pPr>
        <w:pStyle w:val="18"/>
        <w:keepNext w:val="0"/>
        <w:keepLines w:val="0"/>
        <w:pageBreakBefore w:val="0"/>
        <w:widowControl/>
        <w:kinsoku/>
        <w:wordWrap/>
        <w:overflowPunct/>
        <w:topLinePunct w:val="0"/>
        <w:autoSpaceDE w:val="0"/>
        <w:autoSpaceDN w:val="0"/>
        <w:bidi w:val="0"/>
        <w:adjustRightInd/>
        <w:snapToGrid/>
        <w:spacing w:line="240" w:lineRule="auto"/>
        <w:ind w:left="0" w:leftChars="0" w:firstLine="0" w:firstLineChars="0"/>
        <w:textAlignment w:val="auto"/>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 xml:space="preserve">    农艺调控技术</w:t>
      </w:r>
      <w:r>
        <w:rPr>
          <w:rFonts w:hint="default" w:ascii="黑体" w:hAnsi="黑体" w:eastAsia="黑体" w:cs="黑体"/>
          <w:sz w:val="21"/>
          <w:szCs w:val="21"/>
          <w:lang w:val="en-US" w:eastAsia="zh-CN"/>
        </w:rPr>
        <w:t xml:space="preserve">  </w:t>
      </w:r>
      <w:r>
        <w:rPr>
          <w:rFonts w:hint="default" w:ascii="Times New Roman" w:hAnsi="Times New Roman" w:eastAsia="黑体" w:cs="Times New Roman"/>
          <w:sz w:val="21"/>
          <w:szCs w:val="21"/>
          <w:lang w:val="en-US" w:eastAsia="zh-CN"/>
        </w:rPr>
        <w:t>agronomic regulation technology</w:t>
      </w:r>
    </w:p>
    <w:p w14:paraId="661F61C0">
      <w:pPr>
        <w:pStyle w:val="18"/>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hAnsi="宋体" w:cs="宋体"/>
          <w:sz w:val="21"/>
          <w:szCs w:val="21"/>
          <w:lang w:eastAsia="zh-CN"/>
        </w:rPr>
      </w:pPr>
      <w:r>
        <w:rPr>
          <w:rFonts w:hint="eastAsia" w:hAnsi="宋体" w:cs="宋体"/>
          <w:sz w:val="21"/>
          <w:szCs w:val="21"/>
          <w:lang w:eastAsia="zh-CN"/>
        </w:rPr>
        <w:t>通过石灰调节、水肥调控、生理阻隔、深翻耕等农艺措施减少污染物从土壤向作物可食用部位转移，从而保障农产品安全生产，实现受污染耕地安全利用的技术。</w:t>
      </w:r>
    </w:p>
    <w:p w14:paraId="4E875C41">
      <w:pPr>
        <w:pStyle w:val="18"/>
        <w:keepNext w:val="0"/>
        <w:keepLines w:val="0"/>
        <w:pageBreakBefore w:val="0"/>
        <w:widowControl/>
        <w:kinsoku/>
        <w:wordWrap/>
        <w:overflowPunct/>
        <w:topLinePunct w:val="0"/>
        <w:autoSpaceDE w:val="0"/>
        <w:autoSpaceDN w:val="0"/>
        <w:bidi w:val="0"/>
        <w:adjustRightInd/>
        <w:snapToGrid/>
        <w:spacing w:line="240" w:lineRule="auto"/>
        <w:ind w:left="0" w:leftChars="0" w:firstLine="0" w:firstLineChars="0"/>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 xml:space="preserve">3.4 </w:t>
      </w:r>
    </w:p>
    <w:p w14:paraId="448558C7">
      <w:pPr>
        <w:pStyle w:val="18"/>
        <w:keepNext w:val="0"/>
        <w:keepLines w:val="0"/>
        <w:pageBreakBefore w:val="0"/>
        <w:widowControl/>
        <w:kinsoku/>
        <w:wordWrap/>
        <w:overflowPunct/>
        <w:topLinePunct w:val="0"/>
        <w:autoSpaceDE w:val="0"/>
        <w:autoSpaceDN w:val="0"/>
        <w:bidi w:val="0"/>
        <w:adjustRightInd/>
        <w:snapToGrid/>
        <w:spacing w:line="240" w:lineRule="auto"/>
        <w:ind w:left="0" w:leftChars="0" w:firstLine="0" w:firstLineChars="0"/>
        <w:textAlignment w:val="auto"/>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 xml:space="preserve">    土壤改良技术</w:t>
      </w:r>
      <w:r>
        <w:rPr>
          <w:rFonts w:hint="default" w:ascii="黑体" w:hAnsi="黑体" w:eastAsia="黑体" w:cs="黑体"/>
          <w:sz w:val="21"/>
          <w:szCs w:val="21"/>
          <w:lang w:val="en-US" w:eastAsia="zh-CN"/>
        </w:rPr>
        <w:t xml:space="preserve">  </w:t>
      </w:r>
      <w:r>
        <w:rPr>
          <w:rFonts w:hint="default" w:ascii="Times New Roman" w:hAnsi="Times New Roman" w:eastAsia="黑体" w:cs="Times New Roman"/>
          <w:sz w:val="21"/>
          <w:szCs w:val="21"/>
          <w:lang w:val="en-US" w:eastAsia="zh-CN"/>
        </w:rPr>
        <w:t>soil improvement technology</w:t>
      </w:r>
    </w:p>
    <w:p w14:paraId="279A545A">
      <w:pPr>
        <w:pStyle w:val="18"/>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hAnsi="宋体" w:cs="宋体"/>
          <w:sz w:val="21"/>
          <w:szCs w:val="21"/>
          <w:lang w:eastAsia="zh-CN"/>
        </w:rPr>
      </w:pPr>
      <w:r>
        <w:rPr>
          <w:rFonts w:hint="eastAsia" w:hAnsi="宋体" w:cs="宋体"/>
          <w:sz w:val="21"/>
          <w:szCs w:val="21"/>
          <w:lang w:eastAsia="zh-CN"/>
        </w:rPr>
        <w:t>通过施用钝化剂、土壤调理剂等，降低污染物在土壤中的活性，阻控作物对土壤污染物吸收的技术。</w:t>
      </w:r>
    </w:p>
    <w:p w14:paraId="0038D72E">
      <w:pPr>
        <w:pStyle w:val="18"/>
        <w:keepNext w:val="0"/>
        <w:keepLines w:val="0"/>
        <w:pageBreakBefore w:val="0"/>
        <w:widowControl/>
        <w:kinsoku/>
        <w:wordWrap/>
        <w:overflowPunct/>
        <w:topLinePunct w:val="0"/>
        <w:autoSpaceDE w:val="0"/>
        <w:autoSpaceDN w:val="0"/>
        <w:bidi w:val="0"/>
        <w:adjustRightInd/>
        <w:snapToGrid/>
        <w:spacing w:line="240" w:lineRule="auto"/>
        <w:ind w:left="0" w:leftChars="0" w:firstLine="0" w:firstLineChars="0"/>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3.5</w:t>
      </w:r>
    </w:p>
    <w:p w14:paraId="38F09E23">
      <w:pPr>
        <w:pStyle w:val="18"/>
        <w:keepNext w:val="0"/>
        <w:keepLines w:val="0"/>
        <w:pageBreakBefore w:val="0"/>
        <w:widowControl/>
        <w:kinsoku/>
        <w:wordWrap/>
        <w:overflowPunct/>
        <w:topLinePunct w:val="0"/>
        <w:autoSpaceDE w:val="0"/>
        <w:autoSpaceDN w:val="0"/>
        <w:bidi w:val="0"/>
        <w:adjustRightInd/>
        <w:snapToGrid/>
        <w:spacing w:line="240" w:lineRule="auto"/>
        <w:ind w:left="0" w:leftChars="0" w:firstLine="0" w:firstLineChars="0"/>
        <w:textAlignment w:val="auto"/>
        <w:rPr>
          <w:rFonts w:hint="default" w:ascii="Times New Roman" w:hAnsi="Times New Roman" w:eastAsia="黑体" w:cs="Times New Roman"/>
          <w:sz w:val="21"/>
          <w:szCs w:val="21"/>
          <w:lang w:val="en-US" w:eastAsia="zh-CN"/>
        </w:rPr>
      </w:pPr>
      <w:r>
        <w:rPr>
          <w:rFonts w:hint="eastAsia" w:ascii="黑体" w:hAnsi="黑体" w:eastAsia="黑体" w:cs="黑体"/>
          <w:sz w:val="21"/>
          <w:szCs w:val="21"/>
          <w:lang w:val="en-US" w:eastAsia="zh-CN"/>
        </w:rPr>
        <w:t xml:space="preserve">    减量净化技术</w:t>
      </w:r>
      <w:r>
        <w:rPr>
          <w:rFonts w:hint="default" w:ascii="黑体" w:hAnsi="黑体" w:eastAsia="黑体" w:cs="黑体"/>
          <w:sz w:val="21"/>
          <w:szCs w:val="21"/>
          <w:lang w:val="en-US" w:eastAsia="zh-CN"/>
        </w:rPr>
        <w:t xml:space="preserve">  </w:t>
      </w:r>
      <w:r>
        <w:rPr>
          <w:rFonts w:hint="default" w:ascii="Times New Roman" w:hAnsi="Times New Roman" w:eastAsia="黑体" w:cs="Times New Roman"/>
          <w:sz w:val="21"/>
          <w:szCs w:val="21"/>
          <w:lang w:val="en-US" w:eastAsia="zh-CN"/>
        </w:rPr>
        <w:t>reduce purification technology</w:t>
      </w:r>
    </w:p>
    <w:p w14:paraId="753D5330">
      <w:pPr>
        <w:pStyle w:val="18"/>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hAnsi="宋体" w:cs="宋体"/>
          <w:sz w:val="21"/>
          <w:szCs w:val="21"/>
          <w:lang w:eastAsia="zh-CN"/>
        </w:rPr>
      </w:pPr>
      <w:r>
        <w:rPr>
          <w:rFonts w:hint="eastAsia" w:hAnsi="宋体" w:cs="宋体"/>
          <w:sz w:val="21"/>
          <w:szCs w:val="21"/>
          <w:lang w:eastAsia="zh-CN"/>
        </w:rPr>
        <w:t>指能够去除土壤中污染物，实现土壤净化的技术。</w:t>
      </w:r>
    </w:p>
    <w:p w14:paraId="12BD9145">
      <w:pPr>
        <w:pStyle w:val="18"/>
        <w:keepNext w:val="0"/>
        <w:keepLines w:val="0"/>
        <w:pageBreakBefore w:val="0"/>
        <w:widowControl/>
        <w:kinsoku/>
        <w:wordWrap/>
        <w:overflowPunct/>
        <w:topLinePunct w:val="0"/>
        <w:autoSpaceDE w:val="0"/>
        <w:autoSpaceDN w:val="0"/>
        <w:bidi w:val="0"/>
        <w:adjustRightInd/>
        <w:snapToGrid/>
        <w:spacing w:line="240" w:lineRule="auto"/>
        <w:ind w:left="0" w:leftChars="0" w:firstLine="0" w:firstLineChars="0"/>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 xml:space="preserve">3.6 </w:t>
      </w:r>
    </w:p>
    <w:p w14:paraId="27D92CF7">
      <w:pPr>
        <w:pStyle w:val="18"/>
        <w:keepNext w:val="0"/>
        <w:keepLines w:val="0"/>
        <w:pageBreakBefore w:val="0"/>
        <w:widowControl/>
        <w:kinsoku/>
        <w:wordWrap/>
        <w:overflowPunct/>
        <w:topLinePunct w:val="0"/>
        <w:autoSpaceDE w:val="0"/>
        <w:autoSpaceDN w:val="0"/>
        <w:bidi w:val="0"/>
        <w:adjustRightInd/>
        <w:snapToGrid/>
        <w:spacing w:line="240" w:lineRule="auto"/>
        <w:ind w:left="0" w:leftChars="0" w:firstLine="0" w:firstLineChars="0"/>
        <w:textAlignment w:val="auto"/>
        <w:rPr>
          <w:rFonts w:hint="default" w:ascii="Times New Roman" w:hAnsi="Times New Roman" w:eastAsia="黑体" w:cs="Times New Roman"/>
          <w:sz w:val="21"/>
          <w:szCs w:val="21"/>
          <w:lang w:val="en-US" w:eastAsia="zh-CN"/>
        </w:rPr>
      </w:pPr>
      <w:r>
        <w:rPr>
          <w:rFonts w:hint="eastAsia" w:ascii="黑体" w:hAnsi="黑体" w:eastAsia="黑体" w:cs="黑体"/>
          <w:sz w:val="21"/>
          <w:szCs w:val="21"/>
          <w:lang w:val="en-US" w:eastAsia="zh-CN"/>
        </w:rPr>
        <w:t xml:space="preserve">    重金属低积累作物替代种植</w:t>
      </w:r>
      <w:r>
        <w:rPr>
          <w:rFonts w:hint="default" w:ascii="黑体" w:hAnsi="黑体" w:eastAsia="黑体" w:cs="黑体"/>
          <w:sz w:val="21"/>
          <w:szCs w:val="21"/>
          <w:lang w:val="en-US" w:eastAsia="zh-CN"/>
        </w:rPr>
        <w:t xml:space="preserve">  </w:t>
      </w:r>
      <w:r>
        <w:rPr>
          <w:rFonts w:hint="default" w:ascii="Times New Roman" w:hAnsi="Times New Roman" w:eastAsia="黑体" w:cs="Times New Roman"/>
          <w:sz w:val="21"/>
          <w:szCs w:val="21"/>
          <w:lang w:val="en-US" w:eastAsia="zh-CN"/>
        </w:rPr>
        <w:t>substitute planting low heavy metals accumulating crops</w:t>
      </w:r>
    </w:p>
    <w:p w14:paraId="09C351B3">
      <w:pPr>
        <w:pStyle w:val="18"/>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hAnsi="宋体" w:cs="宋体"/>
          <w:sz w:val="21"/>
          <w:szCs w:val="21"/>
          <w:lang w:eastAsia="zh-CN"/>
        </w:rPr>
      </w:pPr>
      <w:r>
        <w:rPr>
          <w:rFonts w:hint="eastAsia" w:hAnsi="宋体" w:cs="宋体"/>
          <w:sz w:val="21"/>
          <w:szCs w:val="21"/>
          <w:lang w:eastAsia="zh-CN"/>
        </w:rPr>
        <w:t>指在受污染耕地上替代种植可食用部位重金属富集能力弱，生产和产量基本不受影响的作物品种。</w:t>
      </w:r>
    </w:p>
    <w:p w14:paraId="4BB19381">
      <w:pPr>
        <w:pStyle w:val="20"/>
        <w:numPr>
          <w:ilvl w:val="0"/>
          <w:numId w:val="0"/>
        </w:numPr>
        <w:rPr>
          <w:rFonts w:hint="eastAsia" w:ascii="黑体" w:eastAsia="黑体"/>
          <w:lang w:eastAsia="zh-CN"/>
        </w:rPr>
      </w:pPr>
      <w:r>
        <w:rPr>
          <w:rFonts w:hint="eastAsia" w:ascii="黑体" w:eastAsia="黑体"/>
        </w:rPr>
        <w:t xml:space="preserve">4  </w:t>
      </w:r>
      <w:r>
        <w:rPr>
          <w:rFonts w:hint="eastAsia"/>
          <w:lang w:val="en-US" w:eastAsia="zh-CN"/>
        </w:rPr>
        <w:t>基本原则</w:t>
      </w:r>
    </w:p>
    <w:p w14:paraId="635CEF5B">
      <w:pPr>
        <w:pStyle w:val="18"/>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4.1 科学可行原则</w:t>
      </w:r>
    </w:p>
    <w:p w14:paraId="2CB3E4B7">
      <w:pPr>
        <w:pStyle w:val="18"/>
        <w:rPr>
          <w:rFonts w:hint="eastAsia" w:ascii="Times New Roman" w:cs="Times New Roman"/>
          <w:lang w:eastAsia="zh-CN"/>
        </w:rPr>
      </w:pPr>
      <w:r>
        <w:rPr>
          <w:rFonts w:hint="eastAsia" w:ascii="Times New Roman" w:cs="Times New Roman"/>
          <w:lang w:eastAsia="zh-CN"/>
        </w:rPr>
        <w:t>按照受污染耕地的污染类型、程度、范围、成因、种植作物种类，以及备选技术的效果、时间、成本和环境影响等因素，科学合理选择安全利用措施，制定与当前技术水平、经济和社会发展实际相适应的实施方案。</w:t>
      </w:r>
    </w:p>
    <w:p w14:paraId="09CFC400">
      <w:pPr>
        <w:pStyle w:val="18"/>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4.2 安全可持续原则</w:t>
      </w:r>
    </w:p>
    <w:p w14:paraId="7FC07FA9">
      <w:pPr>
        <w:pStyle w:val="18"/>
        <w:rPr>
          <w:rFonts w:hint="eastAsia" w:ascii="Times New Roman" w:cs="Times New Roman"/>
          <w:lang w:eastAsia="zh-CN"/>
        </w:rPr>
      </w:pPr>
      <w:r>
        <w:rPr>
          <w:rFonts w:hint="eastAsia" w:ascii="Times New Roman" w:cs="Times New Roman"/>
          <w:lang w:eastAsia="zh-CN"/>
        </w:rPr>
        <w:t>安全利用措施实施应避免对环境产生二次污染，不应对实施人员及周边人群产生健康危害，使用的投入品中镉、汞、砷、铅、铬的总量不应超过GB 15618规定的风险筛选值，或者耕地土壤中对应元素的含量；避免降低土壤生产力，保障耕地可持续利用，措施实施后农作物产量减产幅度不超过</w:t>
      </w:r>
      <w:r>
        <w:rPr>
          <w:rFonts w:hint="eastAsia" w:ascii="Times New Roman" w:cs="Times New Roman"/>
          <w:lang w:val="en-US" w:eastAsia="zh-CN"/>
        </w:rPr>
        <w:t>10%</w:t>
      </w:r>
      <w:r>
        <w:rPr>
          <w:rFonts w:hint="eastAsia" w:ascii="Times New Roman" w:cs="Times New Roman"/>
          <w:lang w:eastAsia="zh-CN"/>
        </w:rPr>
        <w:t>。</w:t>
      </w:r>
    </w:p>
    <w:p w14:paraId="2386B204">
      <w:pPr>
        <w:pStyle w:val="18"/>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4.3  良种与良法结合原则</w:t>
      </w:r>
    </w:p>
    <w:p w14:paraId="5530C51C">
      <w:pPr>
        <w:pStyle w:val="18"/>
        <w:rPr>
          <w:rFonts w:hint="eastAsia" w:ascii="Times New Roman" w:cs="Times New Roman"/>
          <w:lang w:eastAsia="zh-CN"/>
        </w:rPr>
      </w:pPr>
      <w:r>
        <w:rPr>
          <w:rFonts w:hint="eastAsia" w:ascii="Times New Roman" w:cs="Times New Roman"/>
          <w:lang w:val="en-US" w:eastAsia="zh-CN"/>
        </w:rPr>
        <w:t>因地制宜种植品质优、产量高、抗性强的重金属低积累作物，配套轻简化农艺调控、土壤改良、减量净化等安全利用技术措施，形成良种与良法相结合的重金属污染耕地治理修复模式。</w:t>
      </w:r>
    </w:p>
    <w:p w14:paraId="743B9BA3">
      <w:pPr>
        <w:pStyle w:val="20"/>
        <w:numPr>
          <w:ilvl w:val="0"/>
          <w:numId w:val="0"/>
        </w:numPr>
        <w:rPr>
          <w:rFonts w:hint="eastAsia" w:ascii="黑体" w:eastAsia="黑体"/>
          <w:lang w:val="en-US" w:eastAsia="zh-CN"/>
        </w:rPr>
      </w:pPr>
      <w:r>
        <w:rPr>
          <w:rFonts w:hint="eastAsia" w:ascii="黑体" w:eastAsia="黑体"/>
          <w:lang w:val="en-US" w:eastAsia="zh-CN"/>
        </w:rPr>
        <w:t xml:space="preserve">5  </w:t>
      </w:r>
      <w:r>
        <w:rPr>
          <w:rFonts w:hint="eastAsia"/>
          <w:lang w:val="en-US" w:eastAsia="zh-CN"/>
        </w:rPr>
        <w:t>工作程序</w:t>
      </w:r>
    </w:p>
    <w:p w14:paraId="50999F59">
      <w:pPr>
        <w:pStyle w:val="18"/>
        <w:rPr>
          <w:rFonts w:hint="default" w:ascii="Times New Roman" w:hAnsi="Times New Roman" w:cs="Times New Roman"/>
          <w:lang w:val="en-US" w:eastAsia="zh-CN"/>
        </w:rPr>
      </w:pPr>
      <w:r>
        <w:rPr>
          <w:rFonts w:hint="eastAsia" w:ascii="Times New Roman" w:cs="Times New Roman"/>
          <w:lang w:val="en-US" w:eastAsia="zh-CN"/>
        </w:rPr>
        <w:t>按照</w:t>
      </w:r>
      <w:r>
        <w:rPr>
          <w:rFonts w:hint="default" w:ascii="Times New Roman" w:hAnsi="Times New Roman" w:cs="Times New Roman"/>
          <w:lang w:val="en-US" w:eastAsia="zh-CN"/>
        </w:rPr>
        <w:t>NY/T 3499</w:t>
      </w:r>
      <w:r>
        <w:rPr>
          <w:rFonts w:hint="eastAsia" w:ascii="Times New Roman" w:cs="Times New Roman"/>
          <w:lang w:val="en-US" w:eastAsia="zh-CN"/>
        </w:rPr>
        <w:t>规定的程序开展受污染耕地安全利用工作，编制实施方案。</w:t>
      </w:r>
    </w:p>
    <w:p w14:paraId="4CD96088">
      <w:pPr>
        <w:pStyle w:val="20"/>
        <w:numPr>
          <w:ilvl w:val="0"/>
          <w:numId w:val="0"/>
        </w:numPr>
        <w:rPr>
          <w:rFonts w:hint="eastAsia" w:ascii="黑体" w:eastAsia="黑体"/>
          <w:lang w:val="en-US" w:eastAsia="zh-CN"/>
        </w:rPr>
      </w:pPr>
      <w:r>
        <w:rPr>
          <w:rFonts w:hint="eastAsia" w:ascii="黑体" w:eastAsia="黑体"/>
          <w:lang w:val="en-US" w:eastAsia="zh-CN"/>
        </w:rPr>
        <w:t xml:space="preserve">6  </w:t>
      </w:r>
      <w:r>
        <w:rPr>
          <w:rFonts w:hint="eastAsia"/>
          <w:lang w:val="en-US" w:eastAsia="zh-CN"/>
        </w:rPr>
        <w:t>技术应用</w:t>
      </w:r>
    </w:p>
    <w:p w14:paraId="4445520D">
      <w:pPr>
        <w:pStyle w:val="18"/>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6.1  农艺调控技术</w:t>
      </w:r>
    </w:p>
    <w:p w14:paraId="1003ECC3">
      <w:pPr>
        <w:pStyle w:val="18"/>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textAlignment w:val="auto"/>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6.1.1  石灰调节</w:t>
      </w:r>
    </w:p>
    <w:p w14:paraId="5ED63A19">
      <w:pPr>
        <w:pStyle w:val="18"/>
        <w:rPr>
          <w:rFonts w:hint="eastAsia" w:ascii="Times New Roman" w:cs="Times New Roman"/>
          <w:lang w:val="en-US" w:eastAsia="zh-CN"/>
        </w:rPr>
      </w:pPr>
      <w:r>
        <w:rPr>
          <w:rFonts w:hint="eastAsia" w:ascii="Times New Roman" w:cs="Times New Roman"/>
          <w:lang w:eastAsia="zh-CN"/>
        </w:rPr>
        <w:t>适用于偏酸性镉、铅等重金属污染耕地，土壤</w:t>
      </w:r>
      <w:r>
        <w:rPr>
          <w:rFonts w:hint="eastAsia" w:ascii="Times New Roman" w:cs="Times New Roman"/>
          <w:lang w:val="en-US" w:eastAsia="zh-CN"/>
        </w:rPr>
        <w:t>pH≤6.5，不适用于砷污染耕地。</w:t>
      </w:r>
    </w:p>
    <w:p w14:paraId="2EC09AA4">
      <w:pPr>
        <w:pStyle w:val="18"/>
        <w:rPr>
          <w:rFonts w:hint="eastAsia" w:ascii="Times New Roman" w:cs="Times New Roman"/>
          <w:lang w:val="en-US" w:eastAsia="zh-CN"/>
        </w:rPr>
      </w:pPr>
      <w:r>
        <w:rPr>
          <w:rFonts w:hint="eastAsia" w:ascii="Times New Roman" w:cs="Times New Roman"/>
          <w:lang w:val="en-US" w:eastAsia="zh-CN"/>
        </w:rPr>
        <w:t>石灰施用频率宜为1次/年，土壤pH达到7.0后需停施1年。连年过量施用石灰易破坏土壤团粒结构，导致土壤出现板结。酸性镉污染稻田石灰建议施用量见附件A。</w:t>
      </w:r>
    </w:p>
    <w:p w14:paraId="4F5CE643">
      <w:pPr>
        <w:pStyle w:val="18"/>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textAlignment w:val="auto"/>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6.1.2  优化施肥</w:t>
      </w:r>
    </w:p>
    <w:p w14:paraId="728344E8">
      <w:pPr>
        <w:pStyle w:val="18"/>
        <w:rPr>
          <w:rFonts w:hint="eastAsia" w:ascii="Times New Roman" w:cs="Times New Roman"/>
          <w:lang w:eastAsia="zh-CN"/>
        </w:rPr>
      </w:pPr>
      <w:r>
        <w:rPr>
          <w:rFonts w:hint="eastAsia" w:ascii="Times New Roman" w:cs="Times New Roman"/>
          <w:lang w:eastAsia="zh-CN"/>
        </w:rPr>
        <w:t>适用于所有耕地土壤。根据土壤环境状况与种植作物特征，优化有机肥、化肥的种类与施用量。肥料施用应把握适度原则，防止过量施肥引起土壤盐化、酸化、养分不平衡等问题。</w:t>
      </w:r>
    </w:p>
    <w:p w14:paraId="04C183B6">
      <w:pPr>
        <w:pStyle w:val="18"/>
        <w:rPr>
          <w:rFonts w:hint="default" w:ascii="Times New Roman" w:cs="Times New Roman"/>
          <w:lang w:val="en-US" w:eastAsia="zh-CN"/>
        </w:rPr>
      </w:pPr>
      <w:r>
        <w:rPr>
          <w:rFonts w:hint="eastAsia" w:ascii="Times New Roman" w:cs="Times New Roman"/>
          <w:lang w:eastAsia="zh-CN"/>
        </w:rPr>
        <w:t>有机肥做基肥，可配合深耕施用。氮肥、磷肥、钾肥的种类和施用量需根据土壤养分丰缺指标、耕作方式、污染物种类确定，优化铵态氮与硝态氮的施用比例可调节土壤</w:t>
      </w:r>
      <w:r>
        <w:rPr>
          <w:rFonts w:hint="eastAsia" w:ascii="Times New Roman" w:cs="Times New Roman"/>
          <w:lang w:val="en-US" w:eastAsia="zh-CN"/>
        </w:rPr>
        <w:t>pH值，磷肥宜施用钙镁磷肥，钾肥宜施用硫酸钾。</w:t>
      </w:r>
    </w:p>
    <w:p w14:paraId="77BBE62A">
      <w:pPr>
        <w:pStyle w:val="18"/>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textAlignment w:val="auto"/>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6.1.3  水分调节</w:t>
      </w:r>
    </w:p>
    <w:p w14:paraId="01CE7532">
      <w:pPr>
        <w:pStyle w:val="18"/>
        <w:rPr>
          <w:rFonts w:hint="eastAsia" w:ascii="Times New Roman" w:cs="Times New Roman"/>
          <w:lang w:eastAsia="zh-CN"/>
        </w:rPr>
      </w:pPr>
      <w:r>
        <w:rPr>
          <w:rFonts w:hint="eastAsia" w:ascii="Times New Roman" w:cs="Times New Roman"/>
          <w:lang w:eastAsia="zh-CN"/>
        </w:rPr>
        <w:t>适用于土壤</w:t>
      </w:r>
      <w:r>
        <w:rPr>
          <w:rFonts w:hint="eastAsia" w:ascii="Times New Roman" w:cs="Times New Roman"/>
          <w:lang w:val="en-US" w:eastAsia="zh-CN"/>
        </w:rPr>
        <w:t>pH＜6.5的镉污染酸性稻田，不适用于砷污染稻田</w:t>
      </w:r>
      <w:r>
        <w:rPr>
          <w:rFonts w:hint="eastAsia" w:ascii="Times New Roman" w:cs="Times New Roman"/>
          <w:lang w:eastAsia="zh-CN"/>
        </w:rPr>
        <w:t>。</w:t>
      </w:r>
    </w:p>
    <w:p w14:paraId="6EA00F11">
      <w:pPr>
        <w:pStyle w:val="18"/>
        <w:rPr>
          <w:rFonts w:hint="eastAsia" w:ascii="Times New Roman" w:cs="Times New Roman"/>
          <w:lang w:val="en-US" w:eastAsia="zh-CN"/>
        </w:rPr>
      </w:pPr>
      <w:r>
        <w:rPr>
          <w:rFonts w:hint="eastAsia" w:ascii="Times New Roman" w:cs="Times New Roman"/>
          <w:lang w:val="en-US" w:eastAsia="zh-CN"/>
        </w:rPr>
        <w:t>应根据水稻不同生育期对水分的需求进行调控，移栽后深水活蔸，返青期至幼穗分化期浅水（2-3 cm水深）覆田促分蘖，促进水稻根系发育和下扎，控制无效分蘖，减少养分消耗，有利水稻成穗；从齐穗期至成熟期长时淹灌（3-5 cm水深），降低根际和田间温度，减少镉的吸收，提高结实率，增加实粒数，收获前10天排水凉田，及时收获。</w:t>
      </w:r>
    </w:p>
    <w:p w14:paraId="2462E35B">
      <w:pPr>
        <w:pStyle w:val="18"/>
        <w:rPr>
          <w:rFonts w:hint="eastAsia" w:ascii="Times New Roman" w:cs="Times New Roman"/>
          <w:lang w:eastAsia="zh-CN"/>
        </w:rPr>
      </w:pPr>
      <w:r>
        <w:rPr>
          <w:rFonts w:hint="eastAsia" w:ascii="Times New Roman" w:cs="Times New Roman"/>
          <w:lang w:eastAsia="zh-CN"/>
        </w:rPr>
        <w:t>淹水灌溉期间，应加强灌溉水质监测，灌溉水质应符合</w:t>
      </w:r>
      <w:r>
        <w:rPr>
          <w:rFonts w:hint="eastAsia" w:ascii="Times New Roman" w:cs="Times New Roman"/>
          <w:lang w:val="en-US" w:eastAsia="zh-CN"/>
        </w:rPr>
        <w:t>GB 5084的要求。日常巡查时，应加强水稻病虫害的观察与防控。</w:t>
      </w:r>
    </w:p>
    <w:p w14:paraId="2410A0D4">
      <w:pPr>
        <w:pStyle w:val="18"/>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textAlignment w:val="auto"/>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6.1.4  生理阻隔</w:t>
      </w:r>
    </w:p>
    <w:p w14:paraId="248CC553">
      <w:pPr>
        <w:pStyle w:val="18"/>
        <w:rPr>
          <w:rFonts w:hint="eastAsia" w:ascii="Times New Roman" w:cs="Times New Roman"/>
          <w:lang w:val="en-US" w:eastAsia="zh-CN"/>
        </w:rPr>
      </w:pPr>
      <w:r>
        <w:rPr>
          <w:rFonts w:hint="eastAsia" w:ascii="Times New Roman" w:cs="Times New Roman"/>
          <w:lang w:eastAsia="zh-CN"/>
        </w:rPr>
        <w:t>适用于安全利用类耕地，特别是有效硅、有效锌等缺乏的镉污染稻田</w:t>
      </w:r>
      <w:r>
        <w:rPr>
          <w:rFonts w:hint="eastAsia" w:ascii="Times New Roman" w:cs="Times New Roman"/>
          <w:lang w:val="en-US" w:eastAsia="zh-CN"/>
        </w:rPr>
        <w:t>。</w:t>
      </w:r>
    </w:p>
    <w:p w14:paraId="28F66F95">
      <w:pPr>
        <w:pStyle w:val="18"/>
        <w:rPr>
          <w:rFonts w:hint="eastAsia" w:ascii="Times New Roman" w:cs="Times New Roman"/>
          <w:lang w:val="en-US" w:eastAsia="zh-CN"/>
        </w:rPr>
      </w:pPr>
      <w:r>
        <w:rPr>
          <w:rFonts w:hint="eastAsia" w:ascii="Times New Roman" w:cs="Times New Roman"/>
          <w:lang w:val="en-US" w:eastAsia="zh-CN"/>
        </w:rPr>
        <w:t>通过叶面喷施硅、硒、锌等有益元素，提高作物抗逆性，抑制作物根系向可食用部位转运重金属，降低可食用部位重金属含量。叶面阻控剂中可溶性硅、可溶性锌、可溶性硒等原料，可根据作物种类、土壤中有效态硅或锌的含量优化组合。</w:t>
      </w:r>
    </w:p>
    <w:p w14:paraId="696B18A2">
      <w:pPr>
        <w:pStyle w:val="18"/>
        <w:rPr>
          <w:rFonts w:hint="eastAsia" w:ascii="Times New Roman" w:cs="Times New Roman"/>
          <w:lang w:val="en-US" w:eastAsia="zh-CN"/>
        </w:rPr>
      </w:pPr>
      <w:r>
        <w:rPr>
          <w:rFonts w:hint="eastAsia" w:ascii="Times New Roman" w:cs="Times New Roman"/>
          <w:lang w:val="en-US" w:eastAsia="zh-CN"/>
        </w:rPr>
        <w:t>应根据天气情况、作物生长情况选择叶面阻控剂的喷施时间与剂量。采用叶面喷施的方式，若喷施后24小时内下雨，应重新喷施；最佳用量以叶面上下方均匀分布液滴且不滴落为宜。叶面阻控剂与农药的喷施时间应间隔3天以上。重金属污染稻田实施生理阻隔技术按照GB/T 43419.3的规定执行。</w:t>
      </w:r>
    </w:p>
    <w:p w14:paraId="28F846D1">
      <w:pPr>
        <w:pStyle w:val="18"/>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textAlignment w:val="auto"/>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6.1.5  深翻耕</w:t>
      </w:r>
    </w:p>
    <w:p w14:paraId="41F252AB">
      <w:pPr>
        <w:pStyle w:val="18"/>
        <w:rPr>
          <w:rFonts w:hint="eastAsia" w:ascii="Times New Roman" w:cs="Times New Roman"/>
          <w:lang w:val="en-US" w:eastAsia="zh-CN"/>
        </w:rPr>
      </w:pPr>
      <w:r>
        <w:rPr>
          <w:rFonts w:hint="eastAsia" w:ascii="Times New Roman" w:cs="Times New Roman"/>
          <w:lang w:eastAsia="zh-CN"/>
        </w:rPr>
        <w:t>适用于安全利用类耕地，但对于稻田，耕作层加犁地层厚度应在</w:t>
      </w:r>
      <w:r>
        <w:rPr>
          <w:rFonts w:hint="eastAsia" w:ascii="Times New Roman" w:cs="Times New Roman"/>
          <w:lang w:val="en-US" w:eastAsia="zh-CN"/>
        </w:rPr>
        <w:t>25 cm以上，且稻田耕作层厚度≤15 cm、稻田犁地层厚度≥10 cm。不适用于连续两年深翻的稻田、石灰岩漏水地区水田、沙漏田、潜育性田。</w:t>
      </w:r>
    </w:p>
    <w:p w14:paraId="5C96C7F1">
      <w:pPr>
        <w:pStyle w:val="18"/>
        <w:rPr>
          <w:rFonts w:hint="eastAsia" w:ascii="Times New Roman" w:cs="Times New Roman"/>
          <w:lang w:val="en-US" w:eastAsia="zh-CN"/>
        </w:rPr>
      </w:pPr>
      <w:r>
        <w:rPr>
          <w:rFonts w:hint="eastAsia" w:ascii="Times New Roman" w:cs="Times New Roman"/>
          <w:lang w:val="en-US" w:eastAsia="zh-CN"/>
        </w:rPr>
        <w:t>深翻耕实施的时间、周期和深度需根据当地种植习惯、作物类型、土壤类型和耕作层厚度等确定，宜在冬闲或春耕翻地时实施深翻耕，无需占用农时。深翻耕后应进行配套施肥，满足农作物生长需要。</w:t>
      </w:r>
    </w:p>
    <w:p w14:paraId="3CE4F35E">
      <w:pPr>
        <w:pStyle w:val="18"/>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6.2  土壤改良技术</w:t>
      </w:r>
    </w:p>
    <w:p w14:paraId="6AD6DBA7">
      <w:pPr>
        <w:pStyle w:val="18"/>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textAlignment w:val="auto"/>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6.2.1  土壤钝化</w:t>
      </w:r>
    </w:p>
    <w:p w14:paraId="2C5287F5">
      <w:pPr>
        <w:pStyle w:val="18"/>
        <w:rPr>
          <w:rFonts w:hint="eastAsia" w:ascii="Times New Roman" w:cs="Times New Roman"/>
          <w:lang w:val="en-US" w:eastAsia="zh-CN"/>
        </w:rPr>
      </w:pPr>
      <w:r>
        <w:rPr>
          <w:rFonts w:hint="eastAsia" w:ascii="Times New Roman" w:cs="Times New Roman"/>
          <w:lang w:eastAsia="zh-CN"/>
        </w:rPr>
        <w:t>适用于安全利用类耕地。</w:t>
      </w:r>
    </w:p>
    <w:p w14:paraId="0EAA36F4">
      <w:pPr>
        <w:pStyle w:val="18"/>
        <w:rPr>
          <w:rFonts w:hint="eastAsia" w:ascii="Times New Roman" w:cs="Times New Roman"/>
          <w:lang w:val="en-US" w:eastAsia="zh-CN"/>
        </w:rPr>
      </w:pPr>
      <w:r>
        <w:rPr>
          <w:rFonts w:hint="eastAsia" w:ascii="Times New Roman" w:cs="Times New Roman"/>
          <w:lang w:val="en-US" w:eastAsia="zh-CN"/>
        </w:rPr>
        <w:t>通过向土壤中添加钝化剂材料，如海泡石、坡缕石、蒙脱石、黏土矿物粉末、泥炭、生物炭等，将土壤中有效态重金属由转化为化学性质不活泼形态，降低重金属在土壤环境中的迁移、植物有效性和生物毒性。根据土壤类型、土壤理化性质、重金属种类及污染程度、种植农作物品种、当地气候条件等合理选择钝化剂，在大面积应用前，应进行适应性试验，确定适宜的钝化材料种类、施用方式与用量。重金属污染稻田实施钝化技术按照</w:t>
      </w:r>
      <w:r>
        <w:rPr>
          <w:rFonts w:hint="default" w:ascii="Times New Roman" w:hAnsi="Times New Roman" w:cs="Times New Roman"/>
          <w:lang w:val="en-US" w:eastAsia="zh-CN"/>
        </w:rPr>
        <w:t>GB/T 43419.</w:t>
      </w:r>
      <w:r>
        <w:rPr>
          <w:rFonts w:hint="eastAsia" w:ascii="Times New Roman" w:cs="Times New Roman"/>
          <w:lang w:val="en-US" w:eastAsia="zh-CN"/>
        </w:rPr>
        <w:t>2规定的方法执行。</w:t>
      </w:r>
    </w:p>
    <w:p w14:paraId="25F0058E">
      <w:pPr>
        <w:pStyle w:val="18"/>
        <w:rPr>
          <w:rFonts w:hint="eastAsia" w:ascii="Times New Roman" w:cs="Times New Roman"/>
          <w:lang w:val="en-US" w:eastAsia="zh-CN"/>
        </w:rPr>
      </w:pPr>
      <w:r>
        <w:rPr>
          <w:rFonts w:hint="eastAsia" w:ascii="Times New Roman" w:cs="Times New Roman"/>
          <w:lang w:val="en-US" w:eastAsia="zh-CN"/>
        </w:rPr>
        <w:t>钝化后需继续跟踪监测土壤重金属有效态含量及农产品重金属含量的变化，评估钝化的长期效应与可能产生的负面影响。</w:t>
      </w:r>
    </w:p>
    <w:p w14:paraId="13159937">
      <w:pPr>
        <w:pStyle w:val="18"/>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textAlignment w:val="auto"/>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6.2.2  定向调理</w:t>
      </w:r>
    </w:p>
    <w:p w14:paraId="4E562907">
      <w:pPr>
        <w:pStyle w:val="18"/>
        <w:rPr>
          <w:rFonts w:hint="eastAsia" w:ascii="Times New Roman" w:cs="Times New Roman"/>
          <w:lang w:val="en-US" w:eastAsia="zh-CN"/>
        </w:rPr>
      </w:pPr>
      <w:r>
        <w:rPr>
          <w:rFonts w:hint="eastAsia" w:ascii="Times New Roman" w:cs="Times New Roman"/>
          <w:lang w:eastAsia="zh-CN"/>
        </w:rPr>
        <w:t>适用于安全利用类耕地。</w:t>
      </w:r>
    </w:p>
    <w:p w14:paraId="2FEF621C">
      <w:pPr>
        <w:pStyle w:val="18"/>
        <w:rPr>
          <w:rFonts w:hint="eastAsia" w:ascii="Times New Roman" w:cs="Times New Roman"/>
          <w:lang w:val="en-US" w:eastAsia="zh-CN"/>
        </w:rPr>
      </w:pPr>
      <w:r>
        <w:rPr>
          <w:rFonts w:hint="eastAsia" w:ascii="Times New Roman" w:cs="Times New Roman"/>
          <w:lang w:val="en-US" w:eastAsia="zh-CN"/>
        </w:rPr>
        <w:t>通过施用土壤调理剂，基于土壤化学或微生物原理，定向调节土壤中的氧化还原、吸附、沉淀等过程，改善土壤理化性质，降低重金属活性，提高土壤可持续生产能力。根据土壤重金属种类、污染水平、土壤性质合理选择调理剂，在大面积应用前应进行试验，确定合适的施用剂量。</w:t>
      </w:r>
    </w:p>
    <w:p w14:paraId="38EE4097">
      <w:pPr>
        <w:pStyle w:val="18"/>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6.3  重金属低积累作物替代种植技术</w:t>
      </w:r>
    </w:p>
    <w:p w14:paraId="43F241D1">
      <w:pPr>
        <w:pStyle w:val="18"/>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textAlignment w:val="auto"/>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6.3.1  天然筛选型重金属低积累作物替代种植</w:t>
      </w:r>
    </w:p>
    <w:p w14:paraId="79B35724">
      <w:pPr>
        <w:pStyle w:val="18"/>
        <w:rPr>
          <w:rFonts w:hint="eastAsia" w:ascii="Times New Roman" w:cs="Times New Roman"/>
          <w:lang w:eastAsia="zh-CN"/>
        </w:rPr>
      </w:pPr>
      <w:r>
        <w:rPr>
          <w:rFonts w:hint="eastAsia" w:ascii="Times New Roman" w:cs="Times New Roman"/>
          <w:lang w:eastAsia="zh-CN"/>
        </w:rPr>
        <w:t>适宜在品种筛选所在地域与区域品种筛选试验具有类似土壤类型、气候特点、污染特征的地区应用。</w:t>
      </w:r>
    </w:p>
    <w:p w14:paraId="454DE9B3">
      <w:pPr>
        <w:pStyle w:val="18"/>
        <w:rPr>
          <w:rFonts w:hint="eastAsia" w:ascii="Times New Roman" w:cs="Times New Roman"/>
          <w:lang w:val="en-US" w:eastAsia="zh-CN"/>
        </w:rPr>
      </w:pPr>
      <w:r>
        <w:rPr>
          <w:rFonts w:hint="eastAsia" w:ascii="Times New Roman" w:cs="Times New Roman"/>
          <w:lang w:eastAsia="zh-CN"/>
        </w:rPr>
        <w:t>通过区域筛选试验，在已有的作物品种中鉴定具有重金属低积累特性、生长和产量不受影响的品种，替代重金属积累能力较强的原作物品种。种植</w:t>
      </w:r>
      <w:r>
        <w:rPr>
          <w:rFonts w:hint="eastAsia" w:ascii="Times New Roman" w:cs="Times New Roman"/>
          <w:lang w:val="en-US" w:eastAsia="zh-CN"/>
        </w:rPr>
        <w:t>天然筛选型低积累作物难以实现农产品达标生产的，应适配其他安全利用措施。</w:t>
      </w:r>
    </w:p>
    <w:p w14:paraId="507D7B83">
      <w:pPr>
        <w:pStyle w:val="18"/>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textAlignment w:val="auto"/>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6.3.2  基因改良型重金属低积累作物替代种植</w:t>
      </w:r>
    </w:p>
    <w:p w14:paraId="4BA83D88">
      <w:pPr>
        <w:pStyle w:val="18"/>
        <w:rPr>
          <w:rFonts w:hint="eastAsia" w:ascii="Times New Roman" w:cs="Times New Roman"/>
          <w:lang w:eastAsia="zh-CN"/>
        </w:rPr>
      </w:pPr>
      <w:r>
        <w:rPr>
          <w:rFonts w:hint="eastAsia" w:ascii="Times New Roman" w:cs="Times New Roman"/>
          <w:lang w:eastAsia="zh-CN"/>
        </w:rPr>
        <w:t>适宜在</w:t>
      </w:r>
      <w:r>
        <w:rPr>
          <w:rFonts w:hint="eastAsia" w:ascii="Times New Roman" w:cs="Times New Roman"/>
          <w:lang w:val="en-US" w:eastAsia="zh-CN"/>
        </w:rPr>
        <w:t>审定品种规定的适宜生态区应用。</w:t>
      </w:r>
    </w:p>
    <w:p w14:paraId="794117D0">
      <w:pPr>
        <w:pStyle w:val="18"/>
        <w:rPr>
          <w:rFonts w:hint="eastAsia" w:ascii="Times New Roman" w:cs="Times New Roman"/>
          <w:lang w:val="en-US" w:eastAsia="zh-CN"/>
        </w:rPr>
      </w:pPr>
      <w:r>
        <w:rPr>
          <w:rFonts w:hint="eastAsia" w:ascii="Times New Roman" w:cs="Times New Roman"/>
          <w:lang w:val="en-US" w:eastAsia="zh-CN"/>
        </w:rPr>
        <w:t>在受污染耕地种植经过主管部门审定的基因改良型低积累作物品种，替代</w:t>
      </w:r>
      <w:r>
        <w:rPr>
          <w:rFonts w:hint="eastAsia" w:ascii="Times New Roman" w:cs="Times New Roman"/>
          <w:lang w:eastAsia="zh-CN"/>
        </w:rPr>
        <w:t>重金属积累能力较强的原作物品种。种植</w:t>
      </w:r>
      <w:r>
        <w:rPr>
          <w:rFonts w:hint="eastAsia" w:ascii="Times New Roman" w:cs="Times New Roman"/>
          <w:lang w:val="en-US" w:eastAsia="zh-CN"/>
        </w:rPr>
        <w:t>基因改良型低积累作物，应配套高产、轻简化栽培措施。同一适宜生态区地域引种的，应在拟引种区域开展不少于1年的适应性、抗病性试验。种植期间应加强对农产品质量安全的监测。</w:t>
      </w:r>
    </w:p>
    <w:p w14:paraId="073BC2C8">
      <w:pPr>
        <w:pStyle w:val="18"/>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6.4  减量净化技术</w:t>
      </w:r>
    </w:p>
    <w:p w14:paraId="74AEC15E">
      <w:pPr>
        <w:pStyle w:val="18"/>
        <w:rPr>
          <w:rFonts w:hint="eastAsia" w:ascii="Times New Roman" w:cs="Times New Roman"/>
          <w:lang w:eastAsia="zh-CN"/>
        </w:rPr>
      </w:pPr>
      <w:r>
        <w:rPr>
          <w:rFonts w:hint="eastAsia" w:ascii="Times New Roman" w:cs="Times New Roman"/>
          <w:lang w:eastAsia="zh-CN"/>
        </w:rPr>
        <w:t>适用于小面积重金属污染耕地，需要特别注意高富集、超富集植物的生长适宜温度与季节安排。</w:t>
      </w:r>
    </w:p>
    <w:p w14:paraId="7D483DD7">
      <w:pPr>
        <w:pStyle w:val="18"/>
        <w:rPr>
          <w:rFonts w:hint="eastAsia" w:ascii="Times New Roman" w:cs="Times New Roman"/>
          <w:lang w:val="en-US" w:eastAsia="zh-CN"/>
        </w:rPr>
      </w:pPr>
      <w:r>
        <w:rPr>
          <w:rFonts w:hint="eastAsia" w:ascii="Times New Roman" w:cs="Times New Roman"/>
          <w:lang w:eastAsia="zh-CN"/>
        </w:rPr>
        <w:t>通过间作、套作高富集、超富集植物，吸收土壤中的重金属并在地上部积累，收割植物地上部从而去除土壤中的重金属</w:t>
      </w:r>
      <w:r>
        <w:rPr>
          <w:rFonts w:hint="eastAsia" w:ascii="Times New Roman" w:cs="Times New Roman"/>
          <w:lang w:val="en-US" w:eastAsia="zh-CN"/>
        </w:rPr>
        <w:t>。当植物提取效率不足时，可配套化学或者生物措施，提高土壤重金属溶解性，提升高</w:t>
      </w:r>
      <w:r>
        <w:rPr>
          <w:rFonts w:hint="eastAsia" w:ascii="Times New Roman" w:cs="Times New Roman"/>
          <w:lang w:eastAsia="zh-CN"/>
        </w:rPr>
        <w:t>富集、超富集</w:t>
      </w:r>
      <w:r>
        <w:rPr>
          <w:rFonts w:hint="eastAsia" w:ascii="Times New Roman" w:cs="Times New Roman"/>
          <w:lang w:val="en-US" w:eastAsia="zh-CN"/>
        </w:rPr>
        <w:t>植物对重金属的富集效率。应用超富集植物减量净化重金属污染耕地土壤时，应选择合适的栽培措施，包括育苗、翻耕、种植密度、除草、间套作、刈割等。收获的富集植物应集中安全处置，不应还田。</w:t>
      </w:r>
    </w:p>
    <w:p w14:paraId="5978B065">
      <w:pPr>
        <w:pStyle w:val="18"/>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6.5  综合类技术</w:t>
      </w:r>
    </w:p>
    <w:p w14:paraId="7D28283F">
      <w:pPr>
        <w:pStyle w:val="18"/>
        <w:rPr>
          <w:rFonts w:hint="eastAsia" w:ascii="Times New Roman" w:cs="Times New Roman"/>
          <w:lang w:eastAsia="zh-CN"/>
        </w:rPr>
      </w:pPr>
      <w:r>
        <w:rPr>
          <w:rFonts w:hint="eastAsia" w:ascii="Times New Roman" w:cs="Times New Roman"/>
          <w:lang w:eastAsia="zh-CN"/>
        </w:rPr>
        <w:t>适用于安全利用类耕地。</w:t>
      </w:r>
    </w:p>
    <w:p w14:paraId="2D1C527D">
      <w:pPr>
        <w:pStyle w:val="18"/>
        <w:rPr>
          <w:rFonts w:hint="eastAsia" w:ascii="Times New Roman" w:cs="Times New Roman"/>
          <w:lang w:eastAsia="zh-CN"/>
        </w:rPr>
      </w:pPr>
      <w:r>
        <w:rPr>
          <w:rFonts w:hint="eastAsia" w:ascii="Times New Roman" w:cs="Times New Roman"/>
          <w:lang w:val="en-US" w:eastAsia="zh-CN"/>
        </w:rPr>
        <w:t>当单一措施难以达到预期效果时，应结合耕地土壤污染类型、污染程度，集成优化农艺调控、土壤改良、重金属低积累作物替代种植技术措施，建立适合当地实际情况的耕地安全利用模式。</w:t>
      </w:r>
    </w:p>
    <w:p w14:paraId="6CDD415C">
      <w:pPr>
        <w:pStyle w:val="20"/>
        <w:numPr>
          <w:ilvl w:val="0"/>
          <w:numId w:val="0"/>
        </w:numPr>
        <w:rPr>
          <w:rFonts w:hint="eastAsia" w:ascii="黑体" w:eastAsia="黑体"/>
          <w:lang w:val="en-US" w:eastAsia="zh-CN"/>
        </w:rPr>
      </w:pPr>
      <w:r>
        <w:rPr>
          <w:rFonts w:hint="eastAsia" w:ascii="黑体" w:eastAsia="黑体"/>
          <w:lang w:val="en-US" w:eastAsia="zh-CN"/>
        </w:rPr>
        <w:t xml:space="preserve">7  </w:t>
      </w:r>
      <w:r>
        <w:rPr>
          <w:rFonts w:hint="eastAsia"/>
          <w:lang w:val="en-US" w:eastAsia="zh-CN"/>
        </w:rPr>
        <w:t>效果评价</w:t>
      </w:r>
    </w:p>
    <w:p w14:paraId="75376802">
      <w:pPr>
        <w:pStyle w:val="18"/>
        <w:rPr>
          <w:rFonts w:hint="default" w:ascii="Times New Roman" w:hAnsi="Times New Roman" w:cs="Times New Roman"/>
          <w:lang w:val="en-US" w:eastAsia="zh-CN"/>
        </w:rPr>
      </w:pPr>
      <w:r>
        <w:rPr>
          <w:rFonts w:hint="eastAsia" w:ascii="Times New Roman" w:cs="Times New Roman"/>
          <w:lang w:val="en-US" w:eastAsia="zh-CN"/>
        </w:rPr>
        <w:t>安全利用措施实施期间，定期开展土壤与农产品质量协同监测评价，根据监测评价结果及时优化调整安全利用措施。按照NY/T 3499规定的方法对安全利用效果进行评价。</w:t>
      </w:r>
    </w:p>
    <w:p w14:paraId="1EA2F2CF">
      <w:pPr>
        <w:pStyle w:val="18"/>
        <w:rPr>
          <w:rFonts w:hint="default"/>
          <w:lang w:val="en-US" w:eastAsia="zh-CN"/>
        </w:rPr>
      </w:pPr>
    </w:p>
    <w:p w14:paraId="0C0197D3">
      <w:pPr>
        <w:pStyle w:val="18"/>
        <w:rPr>
          <w:rFonts w:hint="eastAsia"/>
        </w:r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2C37749A">
      <w:pPr>
        <w:keepNext w:val="0"/>
        <w:keepLines w:val="0"/>
        <w:pageBreakBefore w:val="0"/>
        <w:widowControl w:val="0"/>
        <w:kinsoku/>
        <w:wordWrap/>
        <w:overflowPunct/>
        <w:topLinePunct w:val="0"/>
        <w:autoSpaceDE/>
        <w:autoSpaceDN/>
        <w:bidi w:val="0"/>
        <w:adjustRightInd/>
        <w:snapToGrid/>
        <w:spacing w:before="625" w:beforeLines="200" w:line="360" w:lineRule="auto"/>
        <w:jc w:val="center"/>
        <w:textAlignment w:val="auto"/>
        <w:rPr>
          <w:rFonts w:hint="eastAsia" w:ascii="黑体" w:hAnsi="黑体" w:eastAsia="黑体" w:cs="Times New Roman"/>
          <w:lang w:eastAsia="zh-CN"/>
        </w:rPr>
      </w:pPr>
      <w:r>
        <w:rPr>
          <w:rFonts w:hint="eastAsia" w:ascii="黑体" w:hAnsi="黑体" w:eastAsia="黑体" w:cs="Times New Roman"/>
        </w:rPr>
        <w:t>附录</w:t>
      </w:r>
      <w:r>
        <w:rPr>
          <w:rFonts w:hint="eastAsia" w:ascii="黑体" w:hAnsi="黑体" w:eastAsia="黑体" w:cs="Times New Roman"/>
          <w:lang w:val="en-US" w:eastAsia="zh-CN"/>
        </w:rPr>
        <w:t>A</w:t>
      </w:r>
    </w:p>
    <w:p w14:paraId="0F2297B5">
      <w:pPr>
        <w:spacing w:line="360" w:lineRule="auto"/>
        <w:jc w:val="center"/>
        <w:rPr>
          <w:rFonts w:ascii="黑体" w:hAnsi="黑体" w:eastAsia="黑体" w:cs="Times New Roman"/>
        </w:rPr>
      </w:pPr>
      <w:r>
        <w:rPr>
          <w:rFonts w:hint="eastAsia" w:ascii="黑体" w:hAnsi="黑体" w:eastAsia="黑体" w:cs="Times New Roman"/>
        </w:rPr>
        <w:t>（资料性附录）</w:t>
      </w:r>
    </w:p>
    <w:p w14:paraId="1468D495">
      <w:pPr>
        <w:spacing w:line="360" w:lineRule="auto"/>
        <w:jc w:val="center"/>
        <w:rPr>
          <w:rFonts w:hint="eastAsia" w:ascii="黑体" w:hAnsi="黑体" w:eastAsia="黑体" w:cs="Times New Roman"/>
          <w:lang w:val="en-US" w:eastAsia="zh-CN"/>
        </w:rPr>
      </w:pPr>
      <w:r>
        <w:rPr>
          <w:rFonts w:hint="eastAsia" w:ascii="黑体" w:hAnsi="黑体" w:eastAsia="黑体" w:cs="Times New Roman"/>
          <w:lang w:val="en-US" w:eastAsia="zh-CN"/>
        </w:rPr>
        <w:t>酸性镉污染稻田石灰（CaO）建议施用量</w:t>
      </w:r>
    </w:p>
    <w:p w14:paraId="1CC4E6D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Times New Roman" w:cs="Times New Roman"/>
          <w:kern w:val="0"/>
          <w:sz w:val="21"/>
          <w:szCs w:val="20"/>
          <w:lang w:val="en-US" w:eastAsia="zh-CN" w:bidi="ar-SA"/>
        </w:rPr>
      </w:pPr>
      <w:r>
        <w:rPr>
          <w:rFonts w:hint="default" w:ascii="宋体" w:hAnsi="Times New Roman" w:eastAsia="宋体" w:cs="Times New Roman"/>
          <w:kern w:val="0"/>
          <w:sz w:val="21"/>
          <w:szCs w:val="20"/>
          <w:lang w:val="en-US" w:eastAsia="zh-CN" w:bidi="ar-SA"/>
        </w:rPr>
        <w:t>酸性</w:t>
      </w:r>
      <w:r>
        <w:rPr>
          <w:rFonts w:hint="eastAsia" w:ascii="宋体" w:hAnsi="Times New Roman" w:cs="Times New Roman"/>
          <w:kern w:val="0"/>
          <w:sz w:val="21"/>
          <w:szCs w:val="20"/>
          <w:lang w:val="en-US" w:eastAsia="zh-CN" w:bidi="ar-SA"/>
        </w:rPr>
        <w:t>镉</w:t>
      </w:r>
      <w:r>
        <w:rPr>
          <w:rFonts w:hint="default" w:ascii="宋体" w:hAnsi="Times New Roman" w:eastAsia="宋体" w:cs="Times New Roman"/>
          <w:kern w:val="0"/>
          <w:sz w:val="21"/>
          <w:szCs w:val="20"/>
          <w:lang w:val="en-US" w:eastAsia="zh-CN" w:bidi="ar-SA"/>
        </w:rPr>
        <w:t>污染</w:t>
      </w:r>
      <w:r>
        <w:rPr>
          <w:rFonts w:hint="eastAsia" w:ascii="宋体" w:hAnsi="Times New Roman" w:cs="Times New Roman"/>
          <w:kern w:val="0"/>
          <w:sz w:val="21"/>
          <w:szCs w:val="20"/>
          <w:lang w:val="en-US" w:eastAsia="zh-CN" w:bidi="ar-SA"/>
        </w:rPr>
        <w:t>稻田</w:t>
      </w:r>
      <w:r>
        <w:rPr>
          <w:rFonts w:hint="default" w:ascii="宋体" w:hAnsi="Times New Roman" w:eastAsia="宋体" w:cs="Times New Roman"/>
          <w:kern w:val="0"/>
          <w:sz w:val="21"/>
          <w:szCs w:val="20"/>
          <w:lang w:val="en-US" w:eastAsia="zh-CN" w:bidi="ar-SA"/>
        </w:rPr>
        <w:t>石灰建议施用量</w:t>
      </w:r>
      <w:r>
        <w:rPr>
          <w:rFonts w:hint="eastAsia" w:ascii="宋体" w:hAnsi="Times New Roman" w:cs="Times New Roman"/>
          <w:kern w:val="0"/>
          <w:sz w:val="21"/>
          <w:szCs w:val="20"/>
          <w:lang w:val="en-US" w:eastAsia="zh-CN" w:bidi="ar-SA"/>
        </w:rPr>
        <w:t>见表A.1。</w:t>
      </w:r>
    </w:p>
    <w:p w14:paraId="6C5173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kern w:val="0"/>
          <w:sz w:val="21"/>
          <w:szCs w:val="20"/>
          <w:lang w:val="en-US" w:eastAsia="zh-CN" w:bidi="ar-SA"/>
        </w:rPr>
      </w:pPr>
      <w:r>
        <w:rPr>
          <w:rFonts w:hint="eastAsia" w:ascii="黑体" w:hAnsi="黑体" w:eastAsia="黑体" w:cs="黑体"/>
          <w:kern w:val="0"/>
          <w:sz w:val="21"/>
          <w:szCs w:val="20"/>
          <w:lang w:val="en-US" w:eastAsia="zh-CN" w:bidi="ar-SA"/>
        </w:rPr>
        <w:t>表A.1  酸性镉污染稻田石灰（CaO）建议施用量[kg/（亩·年）]</w:t>
      </w:r>
    </w:p>
    <w:tbl>
      <w:tblPr>
        <w:tblStyle w:val="11"/>
        <w:tblW w:w="0" w:type="auto"/>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108" w:type="dxa"/>
          <w:bottom w:w="0" w:type="dxa"/>
          <w:right w:w="108" w:type="dxa"/>
        </w:tblCellMar>
      </w:tblPr>
      <w:tblGrid>
        <w:gridCol w:w="1704"/>
        <w:gridCol w:w="1704"/>
        <w:gridCol w:w="1704"/>
        <w:gridCol w:w="1705"/>
        <w:gridCol w:w="1705"/>
      </w:tblGrid>
      <w:tr w14:paraId="4B99E20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c>
          <w:tcPr>
            <w:tcW w:w="1704" w:type="dxa"/>
            <w:vMerge w:val="restart"/>
            <w:tcBorders>
              <w:top w:val="single" w:color="auto" w:sz="12" w:space="0"/>
              <w:left w:val="single" w:color="auto" w:sz="12" w:space="0"/>
              <w:bottom w:val="single" w:color="auto" w:sz="8" w:space="0"/>
              <w:right w:val="single" w:color="auto" w:sz="8" w:space="0"/>
            </w:tcBorders>
            <w:vAlign w:val="center"/>
          </w:tcPr>
          <w:p w14:paraId="00C242CA">
            <w:pPr>
              <w:pStyle w:val="18"/>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kern w:val="2"/>
                <w:sz w:val="18"/>
                <w:szCs w:val="18"/>
                <w:vertAlign w:val="baseline"/>
                <w:lang w:val="en-US" w:eastAsia="zh-CN"/>
              </w:rPr>
            </w:pPr>
            <w:r>
              <w:rPr>
                <w:rFonts w:hint="default" w:ascii="Times New Roman" w:hAnsi="Times New Roman" w:cs="Times New Roman"/>
                <w:kern w:val="2"/>
                <w:sz w:val="18"/>
                <w:szCs w:val="18"/>
                <w:vertAlign w:val="baseline"/>
                <w:lang w:eastAsia="zh-CN"/>
              </w:rPr>
              <w:t>土壤镉含量</w:t>
            </w:r>
            <w:r>
              <w:rPr>
                <w:rFonts w:hint="default" w:ascii="Times New Roman" w:hAnsi="Times New Roman" w:cs="Times New Roman"/>
                <w:i/>
                <w:iCs/>
                <w:kern w:val="2"/>
                <w:sz w:val="18"/>
                <w:szCs w:val="18"/>
                <w:vertAlign w:val="baseline"/>
                <w:lang w:val="en-US" w:eastAsia="zh-CN"/>
              </w:rPr>
              <w:t>C</w:t>
            </w:r>
            <w:r>
              <w:rPr>
                <w:rFonts w:hint="default" w:ascii="Times New Roman" w:hAnsi="Times New Roman" w:cs="Times New Roman"/>
                <w:i/>
                <w:iCs/>
                <w:kern w:val="2"/>
                <w:sz w:val="18"/>
                <w:szCs w:val="18"/>
                <w:vertAlign w:val="subscript"/>
                <w:lang w:val="en-US" w:eastAsia="zh-CN"/>
              </w:rPr>
              <w:t>i</w:t>
            </w:r>
          </w:p>
        </w:tc>
        <w:tc>
          <w:tcPr>
            <w:tcW w:w="1704" w:type="dxa"/>
            <w:vMerge w:val="restart"/>
            <w:tcBorders>
              <w:top w:val="single" w:color="auto" w:sz="12" w:space="0"/>
              <w:left w:val="single" w:color="auto" w:sz="8" w:space="0"/>
              <w:bottom w:val="single" w:color="auto" w:sz="8" w:space="0"/>
              <w:right w:val="single" w:color="auto" w:sz="8" w:space="0"/>
            </w:tcBorders>
            <w:vAlign w:val="center"/>
          </w:tcPr>
          <w:p w14:paraId="23E9BB2A">
            <w:pPr>
              <w:pStyle w:val="18"/>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kern w:val="2"/>
                <w:sz w:val="18"/>
                <w:szCs w:val="18"/>
                <w:vertAlign w:val="baseline"/>
                <w:lang w:val="en-US" w:eastAsia="zh-CN"/>
              </w:rPr>
            </w:pPr>
            <w:r>
              <w:rPr>
                <w:rFonts w:hint="default" w:ascii="Times New Roman" w:hAnsi="Times New Roman" w:cs="Times New Roman"/>
                <w:kern w:val="2"/>
                <w:sz w:val="18"/>
                <w:szCs w:val="18"/>
                <w:vertAlign w:val="baseline"/>
                <w:lang w:eastAsia="zh-CN"/>
              </w:rPr>
              <w:t>土壤</w:t>
            </w:r>
            <w:r>
              <w:rPr>
                <w:rFonts w:hint="default" w:ascii="Times New Roman" w:hAnsi="Times New Roman" w:cs="Times New Roman"/>
                <w:kern w:val="2"/>
                <w:sz w:val="18"/>
                <w:szCs w:val="18"/>
                <w:vertAlign w:val="baseline"/>
                <w:lang w:val="en-US" w:eastAsia="zh-CN"/>
              </w:rPr>
              <w:t>pH值</w:t>
            </w:r>
          </w:p>
        </w:tc>
        <w:tc>
          <w:tcPr>
            <w:tcW w:w="5114" w:type="dxa"/>
            <w:gridSpan w:val="3"/>
            <w:tcBorders>
              <w:top w:val="single" w:color="auto" w:sz="12" w:space="0"/>
              <w:left w:val="single" w:color="auto" w:sz="8" w:space="0"/>
              <w:bottom w:val="single" w:color="auto" w:sz="8" w:space="0"/>
              <w:right w:val="single" w:color="auto" w:sz="12" w:space="0"/>
            </w:tcBorders>
            <w:vAlign w:val="center"/>
          </w:tcPr>
          <w:p w14:paraId="369DE97F">
            <w:pPr>
              <w:pStyle w:val="18"/>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kern w:val="2"/>
                <w:sz w:val="18"/>
                <w:szCs w:val="18"/>
                <w:vertAlign w:val="baseline"/>
                <w:lang w:eastAsia="zh-CN"/>
              </w:rPr>
            </w:pPr>
            <w:r>
              <w:rPr>
                <w:rFonts w:hint="default" w:ascii="Times New Roman" w:hAnsi="Times New Roman" w:cs="Times New Roman"/>
                <w:kern w:val="2"/>
                <w:sz w:val="18"/>
                <w:szCs w:val="18"/>
                <w:vertAlign w:val="baseline"/>
                <w:lang w:eastAsia="zh-CN"/>
              </w:rPr>
              <w:t>土壤质地</w:t>
            </w:r>
          </w:p>
        </w:tc>
      </w:tr>
      <w:tr w14:paraId="62402B8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c>
          <w:tcPr>
            <w:tcW w:w="1704" w:type="dxa"/>
            <w:vMerge w:val="continue"/>
            <w:tcBorders>
              <w:top w:val="single" w:color="auto" w:sz="8" w:space="0"/>
              <w:left w:val="single" w:color="auto" w:sz="12" w:space="0"/>
              <w:bottom w:val="single" w:color="auto" w:sz="8" w:space="0"/>
              <w:right w:val="single" w:color="auto" w:sz="8" w:space="0"/>
            </w:tcBorders>
            <w:vAlign w:val="center"/>
          </w:tcPr>
          <w:p w14:paraId="559975EB">
            <w:pPr>
              <w:pStyle w:val="18"/>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kern w:val="2"/>
                <w:sz w:val="18"/>
                <w:szCs w:val="18"/>
                <w:vertAlign w:val="baseline"/>
                <w:lang w:val="en-US" w:eastAsia="zh-CN"/>
              </w:rPr>
            </w:pPr>
          </w:p>
        </w:tc>
        <w:tc>
          <w:tcPr>
            <w:tcW w:w="1704" w:type="dxa"/>
            <w:vMerge w:val="continue"/>
            <w:tcBorders>
              <w:top w:val="single" w:color="auto" w:sz="8" w:space="0"/>
              <w:left w:val="single" w:color="auto" w:sz="8" w:space="0"/>
              <w:bottom w:val="single" w:color="auto" w:sz="8" w:space="0"/>
              <w:right w:val="single" w:color="auto" w:sz="8" w:space="0"/>
            </w:tcBorders>
            <w:vAlign w:val="center"/>
          </w:tcPr>
          <w:p w14:paraId="4B42D155">
            <w:pPr>
              <w:pStyle w:val="18"/>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kern w:val="2"/>
                <w:sz w:val="18"/>
                <w:szCs w:val="18"/>
                <w:vertAlign w:val="baseline"/>
                <w:lang w:eastAsia="zh-CN"/>
              </w:rPr>
            </w:pPr>
          </w:p>
        </w:tc>
        <w:tc>
          <w:tcPr>
            <w:tcW w:w="1704" w:type="dxa"/>
            <w:tcBorders>
              <w:top w:val="single" w:color="auto" w:sz="8" w:space="0"/>
              <w:left w:val="single" w:color="auto" w:sz="8" w:space="0"/>
              <w:bottom w:val="single" w:color="auto" w:sz="8" w:space="0"/>
              <w:right w:val="single" w:color="auto" w:sz="8" w:space="0"/>
            </w:tcBorders>
            <w:vAlign w:val="center"/>
          </w:tcPr>
          <w:p w14:paraId="75077C16">
            <w:pPr>
              <w:pStyle w:val="18"/>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kern w:val="2"/>
                <w:sz w:val="18"/>
                <w:szCs w:val="18"/>
                <w:vertAlign w:val="baseline"/>
                <w:lang w:eastAsia="zh-CN"/>
              </w:rPr>
            </w:pPr>
            <w:r>
              <w:rPr>
                <w:rFonts w:hint="default" w:ascii="Times New Roman" w:hAnsi="Times New Roman" w:cs="Times New Roman"/>
                <w:kern w:val="2"/>
                <w:sz w:val="18"/>
                <w:szCs w:val="18"/>
                <w:vertAlign w:val="baseline"/>
                <w:lang w:eastAsia="zh-CN"/>
              </w:rPr>
              <w:t>沙壤土</w:t>
            </w:r>
          </w:p>
        </w:tc>
        <w:tc>
          <w:tcPr>
            <w:tcW w:w="1705" w:type="dxa"/>
            <w:tcBorders>
              <w:top w:val="single" w:color="auto" w:sz="8" w:space="0"/>
              <w:left w:val="single" w:color="auto" w:sz="8" w:space="0"/>
              <w:bottom w:val="single" w:color="auto" w:sz="8" w:space="0"/>
              <w:right w:val="single" w:color="auto" w:sz="8" w:space="0"/>
            </w:tcBorders>
            <w:vAlign w:val="center"/>
          </w:tcPr>
          <w:p w14:paraId="320BCB26">
            <w:pPr>
              <w:pStyle w:val="18"/>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kern w:val="2"/>
                <w:sz w:val="18"/>
                <w:szCs w:val="18"/>
                <w:vertAlign w:val="baseline"/>
                <w:lang w:eastAsia="zh-CN"/>
              </w:rPr>
            </w:pPr>
            <w:r>
              <w:rPr>
                <w:rFonts w:hint="default" w:ascii="Times New Roman" w:hAnsi="Times New Roman" w:cs="Times New Roman"/>
                <w:kern w:val="2"/>
                <w:sz w:val="18"/>
                <w:szCs w:val="18"/>
                <w:vertAlign w:val="baseline"/>
                <w:lang w:eastAsia="zh-CN"/>
              </w:rPr>
              <w:t>壤土</w:t>
            </w:r>
          </w:p>
        </w:tc>
        <w:tc>
          <w:tcPr>
            <w:tcW w:w="1705" w:type="dxa"/>
            <w:tcBorders>
              <w:top w:val="single" w:color="auto" w:sz="8" w:space="0"/>
              <w:left w:val="single" w:color="auto" w:sz="8" w:space="0"/>
              <w:bottom w:val="single" w:color="auto" w:sz="8" w:space="0"/>
              <w:right w:val="single" w:color="auto" w:sz="12" w:space="0"/>
            </w:tcBorders>
            <w:vAlign w:val="center"/>
          </w:tcPr>
          <w:p w14:paraId="1484EF34">
            <w:pPr>
              <w:pStyle w:val="18"/>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kern w:val="2"/>
                <w:sz w:val="18"/>
                <w:szCs w:val="18"/>
                <w:vertAlign w:val="baseline"/>
                <w:lang w:eastAsia="zh-CN"/>
              </w:rPr>
            </w:pPr>
            <w:r>
              <w:rPr>
                <w:rFonts w:hint="default" w:ascii="Times New Roman" w:hAnsi="Times New Roman" w:cs="Times New Roman"/>
                <w:kern w:val="2"/>
                <w:sz w:val="18"/>
                <w:szCs w:val="18"/>
                <w:vertAlign w:val="baseline"/>
                <w:lang w:eastAsia="zh-CN"/>
              </w:rPr>
              <w:t>黏土</w:t>
            </w:r>
          </w:p>
        </w:tc>
      </w:tr>
      <w:tr w14:paraId="7FA3050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c>
          <w:tcPr>
            <w:tcW w:w="1704" w:type="dxa"/>
            <w:vMerge w:val="restart"/>
            <w:tcBorders>
              <w:top w:val="single" w:color="auto" w:sz="8" w:space="0"/>
              <w:left w:val="single" w:color="auto" w:sz="12" w:space="0"/>
              <w:bottom w:val="single" w:color="auto" w:sz="8" w:space="0"/>
              <w:right w:val="single" w:color="auto" w:sz="8" w:space="0"/>
            </w:tcBorders>
            <w:vAlign w:val="center"/>
          </w:tcPr>
          <w:p w14:paraId="6F419026">
            <w:pPr>
              <w:pStyle w:val="18"/>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kern w:val="2"/>
                <w:sz w:val="18"/>
                <w:szCs w:val="18"/>
                <w:vertAlign w:val="baseline"/>
                <w:lang w:eastAsia="zh-CN"/>
              </w:rPr>
            </w:pPr>
            <w:r>
              <w:rPr>
                <w:rFonts w:hint="default" w:ascii="Times New Roman" w:hAnsi="Times New Roman" w:cs="Times New Roman"/>
                <w:i/>
                <w:iCs/>
                <w:kern w:val="2"/>
                <w:sz w:val="18"/>
                <w:szCs w:val="18"/>
                <w:vertAlign w:val="baseline"/>
                <w:lang w:val="en-US" w:eastAsia="zh-CN"/>
              </w:rPr>
              <w:t>S</w:t>
            </w:r>
            <w:r>
              <w:rPr>
                <w:rFonts w:hint="default" w:ascii="Times New Roman" w:hAnsi="Times New Roman" w:cs="Times New Roman"/>
                <w:i/>
                <w:iCs/>
                <w:kern w:val="2"/>
                <w:sz w:val="18"/>
                <w:szCs w:val="18"/>
                <w:vertAlign w:val="subscript"/>
                <w:lang w:val="en-US" w:eastAsia="zh-CN"/>
              </w:rPr>
              <w:t>i</w:t>
            </w:r>
            <w:r>
              <w:rPr>
                <w:rFonts w:hint="default" w:ascii="Times New Roman" w:hAnsi="Times New Roman" w:cs="Times New Roman"/>
                <w:i/>
                <w:iCs/>
                <w:kern w:val="2"/>
                <w:sz w:val="18"/>
                <w:szCs w:val="18"/>
                <w:vertAlign w:val="baseline"/>
                <w:lang w:val="en-US" w:eastAsia="zh-CN"/>
              </w:rPr>
              <w:t>&lt;C</w:t>
            </w:r>
            <w:r>
              <w:rPr>
                <w:rFonts w:hint="default" w:ascii="Times New Roman" w:hAnsi="Times New Roman" w:cs="Times New Roman"/>
                <w:i/>
                <w:iCs/>
                <w:kern w:val="2"/>
                <w:sz w:val="18"/>
                <w:szCs w:val="18"/>
                <w:vertAlign w:val="subscript"/>
                <w:lang w:val="en-US" w:eastAsia="zh-CN"/>
              </w:rPr>
              <w:t>i</w:t>
            </w:r>
            <w:r>
              <w:rPr>
                <w:rFonts w:hint="default" w:ascii="Times New Roman" w:hAnsi="Times New Roman" w:cs="Times New Roman"/>
                <w:i/>
                <w:iCs/>
                <w:kern w:val="2"/>
                <w:sz w:val="18"/>
                <w:szCs w:val="18"/>
                <w:vertAlign w:val="baseline"/>
                <w:lang w:val="en-US" w:eastAsia="zh-CN"/>
              </w:rPr>
              <w:t>≤2S</w:t>
            </w:r>
            <w:r>
              <w:rPr>
                <w:rFonts w:hint="default" w:ascii="Times New Roman" w:hAnsi="Times New Roman" w:cs="Times New Roman"/>
                <w:i/>
                <w:iCs/>
                <w:kern w:val="2"/>
                <w:sz w:val="18"/>
                <w:szCs w:val="18"/>
                <w:vertAlign w:val="subscript"/>
                <w:lang w:val="en-US" w:eastAsia="zh-CN"/>
              </w:rPr>
              <w:t>i</w:t>
            </w:r>
          </w:p>
        </w:tc>
        <w:tc>
          <w:tcPr>
            <w:tcW w:w="1704" w:type="dxa"/>
            <w:tcBorders>
              <w:top w:val="single" w:color="auto" w:sz="8" w:space="0"/>
              <w:left w:val="single" w:color="auto" w:sz="8" w:space="0"/>
              <w:bottom w:val="single" w:color="auto" w:sz="8" w:space="0"/>
              <w:right w:val="single" w:color="auto" w:sz="8" w:space="0"/>
            </w:tcBorders>
            <w:vAlign w:val="center"/>
          </w:tcPr>
          <w:p w14:paraId="4ABAEF2E">
            <w:pPr>
              <w:pStyle w:val="18"/>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kern w:val="2"/>
                <w:sz w:val="18"/>
                <w:szCs w:val="18"/>
                <w:vertAlign w:val="baseline"/>
                <w:lang w:val="en-US" w:eastAsia="zh-CN"/>
              </w:rPr>
            </w:pPr>
            <w:r>
              <w:rPr>
                <w:rFonts w:hint="default" w:ascii="Times New Roman" w:hAnsi="Times New Roman" w:cs="Times New Roman"/>
                <w:kern w:val="2"/>
                <w:sz w:val="18"/>
                <w:szCs w:val="18"/>
                <w:vertAlign w:val="baseline"/>
                <w:lang w:val="en-US" w:eastAsia="zh-CN"/>
              </w:rPr>
              <w:t>&lt;5.5</w:t>
            </w:r>
          </w:p>
        </w:tc>
        <w:tc>
          <w:tcPr>
            <w:tcW w:w="1704" w:type="dxa"/>
            <w:tcBorders>
              <w:top w:val="single" w:color="auto" w:sz="8" w:space="0"/>
              <w:left w:val="single" w:color="auto" w:sz="8" w:space="0"/>
              <w:bottom w:val="single" w:color="auto" w:sz="8" w:space="0"/>
              <w:right w:val="single" w:color="auto" w:sz="8" w:space="0"/>
            </w:tcBorders>
            <w:vAlign w:val="center"/>
          </w:tcPr>
          <w:p w14:paraId="5DCC0FA6">
            <w:pPr>
              <w:pStyle w:val="18"/>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kern w:val="2"/>
                <w:sz w:val="18"/>
                <w:szCs w:val="18"/>
                <w:vertAlign w:val="baseline"/>
                <w:lang w:val="en-US" w:eastAsia="zh-CN"/>
              </w:rPr>
            </w:pPr>
            <w:r>
              <w:rPr>
                <w:rFonts w:hint="default" w:ascii="Times New Roman" w:hAnsi="Times New Roman" w:cs="Times New Roman"/>
                <w:kern w:val="2"/>
                <w:sz w:val="18"/>
                <w:szCs w:val="18"/>
                <w:vertAlign w:val="baseline"/>
                <w:lang w:val="en-US" w:eastAsia="zh-CN"/>
              </w:rPr>
              <w:t>100</w:t>
            </w:r>
          </w:p>
        </w:tc>
        <w:tc>
          <w:tcPr>
            <w:tcW w:w="1705" w:type="dxa"/>
            <w:tcBorders>
              <w:top w:val="single" w:color="auto" w:sz="8" w:space="0"/>
              <w:left w:val="single" w:color="auto" w:sz="8" w:space="0"/>
              <w:bottom w:val="single" w:color="auto" w:sz="8" w:space="0"/>
              <w:right w:val="single" w:color="auto" w:sz="8" w:space="0"/>
            </w:tcBorders>
            <w:vAlign w:val="center"/>
          </w:tcPr>
          <w:p w14:paraId="5EB33266">
            <w:pPr>
              <w:pStyle w:val="18"/>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kern w:val="2"/>
                <w:sz w:val="18"/>
                <w:szCs w:val="18"/>
                <w:vertAlign w:val="baseline"/>
                <w:lang w:val="en-US" w:eastAsia="zh-CN"/>
              </w:rPr>
            </w:pPr>
            <w:r>
              <w:rPr>
                <w:rFonts w:hint="default" w:ascii="Times New Roman" w:hAnsi="Times New Roman" w:cs="Times New Roman"/>
                <w:kern w:val="2"/>
                <w:sz w:val="18"/>
                <w:szCs w:val="18"/>
                <w:vertAlign w:val="baseline"/>
                <w:lang w:val="en-US" w:eastAsia="zh-CN"/>
              </w:rPr>
              <w:t>150</w:t>
            </w:r>
          </w:p>
        </w:tc>
        <w:tc>
          <w:tcPr>
            <w:tcW w:w="1705" w:type="dxa"/>
            <w:tcBorders>
              <w:top w:val="single" w:color="auto" w:sz="8" w:space="0"/>
              <w:left w:val="single" w:color="auto" w:sz="8" w:space="0"/>
              <w:bottom w:val="single" w:color="auto" w:sz="8" w:space="0"/>
              <w:right w:val="single" w:color="auto" w:sz="12" w:space="0"/>
            </w:tcBorders>
            <w:vAlign w:val="center"/>
          </w:tcPr>
          <w:p w14:paraId="3894A3D0">
            <w:pPr>
              <w:pStyle w:val="18"/>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kern w:val="2"/>
                <w:sz w:val="18"/>
                <w:szCs w:val="18"/>
                <w:vertAlign w:val="baseline"/>
                <w:lang w:val="en-US" w:eastAsia="zh-CN"/>
              </w:rPr>
            </w:pPr>
            <w:r>
              <w:rPr>
                <w:rFonts w:hint="default" w:ascii="Times New Roman" w:hAnsi="Times New Roman" w:cs="Times New Roman"/>
                <w:kern w:val="2"/>
                <w:sz w:val="18"/>
                <w:szCs w:val="18"/>
                <w:vertAlign w:val="baseline"/>
                <w:lang w:val="en-US" w:eastAsia="zh-CN"/>
              </w:rPr>
              <w:t>200</w:t>
            </w:r>
          </w:p>
        </w:tc>
      </w:tr>
      <w:tr w14:paraId="28640BA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c>
          <w:tcPr>
            <w:tcW w:w="1704" w:type="dxa"/>
            <w:vMerge w:val="continue"/>
            <w:tcBorders>
              <w:top w:val="single" w:color="auto" w:sz="8" w:space="0"/>
              <w:left w:val="single" w:color="auto" w:sz="12" w:space="0"/>
              <w:bottom w:val="single" w:color="auto" w:sz="8" w:space="0"/>
              <w:right w:val="single" w:color="auto" w:sz="8" w:space="0"/>
            </w:tcBorders>
            <w:vAlign w:val="center"/>
          </w:tcPr>
          <w:p w14:paraId="2FF5B9FB">
            <w:pPr>
              <w:pStyle w:val="18"/>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kern w:val="2"/>
                <w:sz w:val="18"/>
                <w:szCs w:val="18"/>
                <w:vertAlign w:val="baseline"/>
                <w:lang w:eastAsia="zh-CN"/>
              </w:rPr>
            </w:pPr>
          </w:p>
        </w:tc>
        <w:tc>
          <w:tcPr>
            <w:tcW w:w="1704" w:type="dxa"/>
            <w:tcBorders>
              <w:top w:val="single" w:color="auto" w:sz="8" w:space="0"/>
              <w:left w:val="single" w:color="auto" w:sz="8" w:space="0"/>
              <w:bottom w:val="single" w:color="auto" w:sz="8" w:space="0"/>
              <w:right w:val="single" w:color="auto" w:sz="8" w:space="0"/>
            </w:tcBorders>
            <w:vAlign w:val="center"/>
          </w:tcPr>
          <w:p w14:paraId="39160608">
            <w:pPr>
              <w:pStyle w:val="18"/>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kern w:val="2"/>
                <w:sz w:val="18"/>
                <w:szCs w:val="18"/>
                <w:vertAlign w:val="baseline"/>
                <w:lang w:val="en-US" w:eastAsia="zh-CN"/>
              </w:rPr>
            </w:pPr>
            <w:r>
              <w:rPr>
                <w:rFonts w:hint="default" w:ascii="Times New Roman" w:hAnsi="Times New Roman" w:cs="Times New Roman"/>
                <w:kern w:val="2"/>
                <w:sz w:val="18"/>
                <w:szCs w:val="18"/>
                <w:vertAlign w:val="baseline"/>
                <w:lang w:val="en-US" w:eastAsia="zh-CN"/>
              </w:rPr>
              <w:t>5.5-6.5</w:t>
            </w:r>
          </w:p>
        </w:tc>
        <w:tc>
          <w:tcPr>
            <w:tcW w:w="1704" w:type="dxa"/>
            <w:tcBorders>
              <w:top w:val="single" w:color="auto" w:sz="8" w:space="0"/>
              <w:left w:val="single" w:color="auto" w:sz="8" w:space="0"/>
              <w:bottom w:val="single" w:color="auto" w:sz="8" w:space="0"/>
              <w:right w:val="single" w:color="auto" w:sz="8" w:space="0"/>
            </w:tcBorders>
            <w:vAlign w:val="center"/>
          </w:tcPr>
          <w:p w14:paraId="770A98D7">
            <w:pPr>
              <w:pStyle w:val="18"/>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kern w:val="2"/>
                <w:sz w:val="18"/>
                <w:szCs w:val="18"/>
                <w:vertAlign w:val="baseline"/>
                <w:lang w:val="en-US" w:eastAsia="zh-CN"/>
              </w:rPr>
            </w:pPr>
            <w:r>
              <w:rPr>
                <w:rFonts w:hint="default" w:ascii="Times New Roman" w:hAnsi="Times New Roman" w:cs="Times New Roman"/>
                <w:kern w:val="2"/>
                <w:sz w:val="18"/>
                <w:szCs w:val="18"/>
                <w:vertAlign w:val="baseline"/>
                <w:lang w:val="en-US" w:eastAsia="zh-CN"/>
              </w:rPr>
              <w:t>75</w:t>
            </w:r>
          </w:p>
        </w:tc>
        <w:tc>
          <w:tcPr>
            <w:tcW w:w="1705" w:type="dxa"/>
            <w:tcBorders>
              <w:top w:val="single" w:color="auto" w:sz="8" w:space="0"/>
              <w:left w:val="single" w:color="auto" w:sz="8" w:space="0"/>
              <w:bottom w:val="single" w:color="auto" w:sz="8" w:space="0"/>
              <w:right w:val="single" w:color="auto" w:sz="8" w:space="0"/>
            </w:tcBorders>
            <w:vAlign w:val="center"/>
          </w:tcPr>
          <w:p w14:paraId="0544E323">
            <w:pPr>
              <w:pStyle w:val="18"/>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kern w:val="2"/>
                <w:sz w:val="18"/>
                <w:szCs w:val="18"/>
                <w:vertAlign w:val="baseline"/>
                <w:lang w:val="en-US" w:eastAsia="zh-CN"/>
              </w:rPr>
            </w:pPr>
            <w:r>
              <w:rPr>
                <w:rFonts w:hint="default" w:ascii="Times New Roman" w:hAnsi="Times New Roman" w:cs="Times New Roman"/>
                <w:kern w:val="2"/>
                <w:sz w:val="18"/>
                <w:szCs w:val="18"/>
                <w:vertAlign w:val="baseline"/>
                <w:lang w:val="en-US" w:eastAsia="zh-CN"/>
              </w:rPr>
              <w:t>100</w:t>
            </w:r>
          </w:p>
        </w:tc>
        <w:tc>
          <w:tcPr>
            <w:tcW w:w="1705" w:type="dxa"/>
            <w:tcBorders>
              <w:top w:val="single" w:color="auto" w:sz="8" w:space="0"/>
              <w:left w:val="single" w:color="auto" w:sz="8" w:space="0"/>
              <w:bottom w:val="single" w:color="auto" w:sz="8" w:space="0"/>
              <w:right w:val="single" w:color="auto" w:sz="12" w:space="0"/>
            </w:tcBorders>
            <w:vAlign w:val="center"/>
          </w:tcPr>
          <w:p w14:paraId="58E111DA">
            <w:pPr>
              <w:pStyle w:val="18"/>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kern w:val="2"/>
                <w:sz w:val="18"/>
                <w:szCs w:val="18"/>
                <w:vertAlign w:val="baseline"/>
                <w:lang w:val="en-US" w:eastAsia="zh-CN"/>
              </w:rPr>
            </w:pPr>
            <w:r>
              <w:rPr>
                <w:rFonts w:hint="default" w:ascii="Times New Roman" w:hAnsi="Times New Roman" w:cs="Times New Roman"/>
                <w:kern w:val="2"/>
                <w:sz w:val="18"/>
                <w:szCs w:val="18"/>
                <w:vertAlign w:val="baseline"/>
                <w:lang w:val="en-US" w:eastAsia="zh-CN"/>
              </w:rPr>
              <w:t>150</w:t>
            </w:r>
          </w:p>
        </w:tc>
      </w:tr>
      <w:tr w14:paraId="5D96500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c>
          <w:tcPr>
            <w:tcW w:w="1704" w:type="dxa"/>
            <w:vMerge w:val="restart"/>
            <w:tcBorders>
              <w:top w:val="single" w:color="auto" w:sz="8" w:space="0"/>
              <w:left w:val="single" w:color="auto" w:sz="12" w:space="0"/>
              <w:bottom w:val="single" w:color="auto" w:sz="8" w:space="0"/>
              <w:right w:val="single" w:color="auto" w:sz="8" w:space="0"/>
            </w:tcBorders>
            <w:vAlign w:val="center"/>
          </w:tcPr>
          <w:p w14:paraId="1CB9CB35">
            <w:pPr>
              <w:pStyle w:val="18"/>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kern w:val="2"/>
                <w:sz w:val="18"/>
                <w:szCs w:val="18"/>
                <w:vertAlign w:val="baseline"/>
                <w:lang w:val="en-US" w:eastAsia="zh-CN"/>
              </w:rPr>
            </w:pPr>
            <w:r>
              <w:rPr>
                <w:rFonts w:hint="default" w:ascii="Times New Roman" w:hAnsi="Times New Roman" w:cs="Times New Roman"/>
                <w:i/>
                <w:iCs/>
                <w:kern w:val="2"/>
                <w:sz w:val="18"/>
                <w:szCs w:val="18"/>
                <w:vertAlign w:val="baseline"/>
                <w:lang w:val="en-US" w:eastAsia="zh-CN"/>
              </w:rPr>
              <w:t>C</w:t>
            </w:r>
            <w:r>
              <w:rPr>
                <w:rFonts w:hint="default" w:ascii="Times New Roman" w:hAnsi="Times New Roman" w:cs="Times New Roman"/>
                <w:i/>
                <w:iCs/>
                <w:kern w:val="2"/>
                <w:sz w:val="18"/>
                <w:szCs w:val="18"/>
                <w:vertAlign w:val="subscript"/>
                <w:lang w:val="en-US" w:eastAsia="zh-CN"/>
              </w:rPr>
              <w:t>i</w:t>
            </w:r>
            <w:r>
              <w:rPr>
                <w:rFonts w:hint="default" w:ascii="Times New Roman" w:hAnsi="Times New Roman" w:cs="Times New Roman"/>
                <w:i/>
                <w:iCs/>
                <w:kern w:val="2"/>
                <w:sz w:val="18"/>
                <w:szCs w:val="18"/>
                <w:vertAlign w:val="baseline"/>
                <w:lang w:val="en-US" w:eastAsia="zh-CN"/>
              </w:rPr>
              <w:t>&gt;2S</w:t>
            </w:r>
            <w:r>
              <w:rPr>
                <w:rFonts w:hint="default" w:ascii="Times New Roman" w:hAnsi="Times New Roman" w:cs="Times New Roman"/>
                <w:i/>
                <w:iCs/>
                <w:kern w:val="2"/>
                <w:sz w:val="18"/>
                <w:szCs w:val="18"/>
                <w:vertAlign w:val="subscript"/>
                <w:lang w:val="en-US" w:eastAsia="zh-CN"/>
              </w:rPr>
              <w:t>i</w:t>
            </w:r>
          </w:p>
        </w:tc>
        <w:tc>
          <w:tcPr>
            <w:tcW w:w="1704" w:type="dxa"/>
            <w:tcBorders>
              <w:top w:val="single" w:color="auto" w:sz="8" w:space="0"/>
              <w:left w:val="single" w:color="auto" w:sz="8" w:space="0"/>
              <w:bottom w:val="single" w:color="auto" w:sz="8" w:space="0"/>
              <w:right w:val="single" w:color="auto" w:sz="8" w:space="0"/>
            </w:tcBorders>
            <w:vAlign w:val="center"/>
          </w:tcPr>
          <w:p w14:paraId="3166F9ED">
            <w:pPr>
              <w:pStyle w:val="18"/>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kern w:val="2"/>
                <w:sz w:val="18"/>
                <w:szCs w:val="18"/>
                <w:vertAlign w:val="baseline"/>
                <w:lang w:val="en-US" w:eastAsia="zh-CN"/>
              </w:rPr>
            </w:pPr>
            <w:r>
              <w:rPr>
                <w:rFonts w:hint="default" w:ascii="Times New Roman" w:hAnsi="Times New Roman" w:cs="Times New Roman"/>
                <w:kern w:val="2"/>
                <w:sz w:val="18"/>
                <w:szCs w:val="18"/>
                <w:vertAlign w:val="baseline"/>
                <w:lang w:val="en-US" w:eastAsia="zh-CN"/>
              </w:rPr>
              <w:t>&lt;5.5</w:t>
            </w:r>
          </w:p>
        </w:tc>
        <w:tc>
          <w:tcPr>
            <w:tcW w:w="1704" w:type="dxa"/>
            <w:tcBorders>
              <w:top w:val="single" w:color="auto" w:sz="8" w:space="0"/>
              <w:left w:val="single" w:color="auto" w:sz="8" w:space="0"/>
              <w:bottom w:val="single" w:color="auto" w:sz="8" w:space="0"/>
              <w:right w:val="single" w:color="auto" w:sz="8" w:space="0"/>
            </w:tcBorders>
            <w:vAlign w:val="center"/>
          </w:tcPr>
          <w:p w14:paraId="28083583">
            <w:pPr>
              <w:pStyle w:val="18"/>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kern w:val="2"/>
                <w:sz w:val="18"/>
                <w:szCs w:val="18"/>
                <w:vertAlign w:val="baseline"/>
                <w:lang w:val="en-US" w:eastAsia="zh-CN"/>
              </w:rPr>
            </w:pPr>
            <w:r>
              <w:rPr>
                <w:rFonts w:hint="default" w:ascii="Times New Roman" w:hAnsi="Times New Roman" w:cs="Times New Roman"/>
                <w:kern w:val="2"/>
                <w:sz w:val="18"/>
                <w:szCs w:val="18"/>
                <w:vertAlign w:val="baseline"/>
                <w:lang w:val="en-US" w:eastAsia="zh-CN"/>
              </w:rPr>
              <w:t>150</w:t>
            </w:r>
          </w:p>
        </w:tc>
        <w:tc>
          <w:tcPr>
            <w:tcW w:w="1705" w:type="dxa"/>
            <w:tcBorders>
              <w:top w:val="single" w:color="auto" w:sz="8" w:space="0"/>
              <w:left w:val="single" w:color="auto" w:sz="8" w:space="0"/>
              <w:bottom w:val="single" w:color="auto" w:sz="8" w:space="0"/>
              <w:right w:val="single" w:color="auto" w:sz="8" w:space="0"/>
            </w:tcBorders>
            <w:vAlign w:val="center"/>
          </w:tcPr>
          <w:p w14:paraId="20EAF696">
            <w:pPr>
              <w:pStyle w:val="18"/>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kern w:val="2"/>
                <w:sz w:val="18"/>
                <w:szCs w:val="18"/>
                <w:vertAlign w:val="baseline"/>
                <w:lang w:val="en-US" w:eastAsia="zh-CN"/>
              </w:rPr>
            </w:pPr>
            <w:r>
              <w:rPr>
                <w:rFonts w:hint="default" w:ascii="Times New Roman" w:hAnsi="Times New Roman" w:cs="Times New Roman"/>
                <w:kern w:val="2"/>
                <w:sz w:val="18"/>
                <w:szCs w:val="18"/>
                <w:vertAlign w:val="baseline"/>
                <w:lang w:val="en-US" w:eastAsia="zh-CN"/>
              </w:rPr>
              <w:t>200</w:t>
            </w:r>
          </w:p>
        </w:tc>
        <w:tc>
          <w:tcPr>
            <w:tcW w:w="1705" w:type="dxa"/>
            <w:tcBorders>
              <w:top w:val="single" w:color="auto" w:sz="8" w:space="0"/>
              <w:left w:val="single" w:color="auto" w:sz="8" w:space="0"/>
              <w:bottom w:val="single" w:color="auto" w:sz="8" w:space="0"/>
              <w:right w:val="single" w:color="auto" w:sz="12" w:space="0"/>
            </w:tcBorders>
            <w:vAlign w:val="center"/>
          </w:tcPr>
          <w:p w14:paraId="023A6A54">
            <w:pPr>
              <w:pStyle w:val="18"/>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kern w:val="2"/>
                <w:sz w:val="18"/>
                <w:szCs w:val="18"/>
                <w:vertAlign w:val="baseline"/>
                <w:lang w:val="en-US" w:eastAsia="zh-CN"/>
              </w:rPr>
            </w:pPr>
            <w:r>
              <w:rPr>
                <w:rFonts w:hint="default" w:ascii="Times New Roman" w:hAnsi="Times New Roman" w:cs="Times New Roman"/>
                <w:kern w:val="2"/>
                <w:sz w:val="18"/>
                <w:szCs w:val="18"/>
                <w:vertAlign w:val="baseline"/>
                <w:lang w:val="en-US" w:eastAsia="zh-CN"/>
              </w:rPr>
              <w:t>250</w:t>
            </w:r>
          </w:p>
        </w:tc>
      </w:tr>
      <w:tr w14:paraId="37EAF5A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c>
          <w:tcPr>
            <w:tcW w:w="1704" w:type="dxa"/>
            <w:vMerge w:val="continue"/>
            <w:tcBorders>
              <w:top w:val="single" w:color="auto" w:sz="8" w:space="0"/>
              <w:left w:val="single" w:color="auto" w:sz="12" w:space="0"/>
              <w:bottom w:val="single" w:color="auto" w:sz="8" w:space="0"/>
              <w:right w:val="single" w:color="auto" w:sz="8" w:space="0"/>
            </w:tcBorders>
            <w:vAlign w:val="center"/>
          </w:tcPr>
          <w:p w14:paraId="25F888D2">
            <w:pPr>
              <w:pStyle w:val="18"/>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kern w:val="2"/>
                <w:sz w:val="18"/>
                <w:szCs w:val="18"/>
                <w:vertAlign w:val="baseline"/>
                <w:lang w:eastAsia="zh-CN"/>
              </w:rPr>
            </w:pPr>
          </w:p>
        </w:tc>
        <w:tc>
          <w:tcPr>
            <w:tcW w:w="1704" w:type="dxa"/>
            <w:tcBorders>
              <w:top w:val="single" w:color="auto" w:sz="8" w:space="0"/>
              <w:left w:val="single" w:color="auto" w:sz="8" w:space="0"/>
              <w:bottom w:val="single" w:color="auto" w:sz="8" w:space="0"/>
              <w:right w:val="single" w:color="auto" w:sz="8" w:space="0"/>
            </w:tcBorders>
            <w:vAlign w:val="center"/>
          </w:tcPr>
          <w:p w14:paraId="00DE0555">
            <w:pPr>
              <w:pStyle w:val="18"/>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kern w:val="2"/>
                <w:sz w:val="18"/>
                <w:szCs w:val="18"/>
                <w:vertAlign w:val="baseline"/>
                <w:lang w:val="en-US" w:eastAsia="zh-CN"/>
              </w:rPr>
            </w:pPr>
            <w:r>
              <w:rPr>
                <w:rFonts w:hint="default" w:ascii="Times New Roman" w:hAnsi="Times New Roman" w:cs="Times New Roman"/>
                <w:kern w:val="2"/>
                <w:sz w:val="18"/>
                <w:szCs w:val="18"/>
                <w:vertAlign w:val="baseline"/>
                <w:lang w:val="en-US" w:eastAsia="zh-CN"/>
              </w:rPr>
              <w:t>5.5-6.5</w:t>
            </w:r>
          </w:p>
        </w:tc>
        <w:tc>
          <w:tcPr>
            <w:tcW w:w="1704" w:type="dxa"/>
            <w:tcBorders>
              <w:top w:val="single" w:color="auto" w:sz="8" w:space="0"/>
              <w:left w:val="single" w:color="auto" w:sz="8" w:space="0"/>
              <w:bottom w:val="single" w:color="auto" w:sz="8" w:space="0"/>
              <w:right w:val="single" w:color="auto" w:sz="8" w:space="0"/>
            </w:tcBorders>
            <w:vAlign w:val="center"/>
          </w:tcPr>
          <w:p w14:paraId="317E744F">
            <w:pPr>
              <w:pStyle w:val="18"/>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kern w:val="2"/>
                <w:sz w:val="18"/>
                <w:szCs w:val="18"/>
                <w:vertAlign w:val="baseline"/>
                <w:lang w:val="en-US" w:eastAsia="zh-CN"/>
              </w:rPr>
            </w:pPr>
            <w:r>
              <w:rPr>
                <w:rFonts w:hint="default" w:ascii="Times New Roman" w:hAnsi="Times New Roman" w:cs="Times New Roman"/>
                <w:kern w:val="2"/>
                <w:sz w:val="18"/>
                <w:szCs w:val="18"/>
                <w:vertAlign w:val="baseline"/>
                <w:lang w:val="en-US" w:eastAsia="zh-CN"/>
              </w:rPr>
              <w:t>100</w:t>
            </w:r>
          </w:p>
        </w:tc>
        <w:tc>
          <w:tcPr>
            <w:tcW w:w="1705" w:type="dxa"/>
            <w:tcBorders>
              <w:top w:val="single" w:color="auto" w:sz="8" w:space="0"/>
              <w:left w:val="single" w:color="auto" w:sz="8" w:space="0"/>
              <w:bottom w:val="single" w:color="auto" w:sz="8" w:space="0"/>
              <w:right w:val="single" w:color="auto" w:sz="8" w:space="0"/>
            </w:tcBorders>
            <w:vAlign w:val="center"/>
          </w:tcPr>
          <w:p w14:paraId="02372D47">
            <w:pPr>
              <w:pStyle w:val="18"/>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kern w:val="2"/>
                <w:sz w:val="18"/>
                <w:szCs w:val="18"/>
                <w:vertAlign w:val="baseline"/>
                <w:lang w:val="en-US" w:eastAsia="zh-CN"/>
              </w:rPr>
            </w:pPr>
            <w:r>
              <w:rPr>
                <w:rFonts w:hint="default" w:ascii="Times New Roman" w:hAnsi="Times New Roman" w:cs="Times New Roman"/>
                <w:kern w:val="2"/>
                <w:sz w:val="18"/>
                <w:szCs w:val="18"/>
                <w:vertAlign w:val="baseline"/>
                <w:lang w:val="en-US" w:eastAsia="zh-CN"/>
              </w:rPr>
              <w:t>150</w:t>
            </w:r>
          </w:p>
        </w:tc>
        <w:tc>
          <w:tcPr>
            <w:tcW w:w="1705" w:type="dxa"/>
            <w:tcBorders>
              <w:top w:val="single" w:color="auto" w:sz="8" w:space="0"/>
              <w:left w:val="single" w:color="auto" w:sz="8" w:space="0"/>
              <w:bottom w:val="single" w:color="auto" w:sz="8" w:space="0"/>
              <w:right w:val="single" w:color="auto" w:sz="12" w:space="0"/>
            </w:tcBorders>
            <w:vAlign w:val="center"/>
          </w:tcPr>
          <w:p w14:paraId="34AEF257">
            <w:pPr>
              <w:pStyle w:val="18"/>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kern w:val="2"/>
                <w:sz w:val="18"/>
                <w:szCs w:val="18"/>
                <w:vertAlign w:val="baseline"/>
                <w:lang w:val="en-US" w:eastAsia="zh-CN"/>
              </w:rPr>
            </w:pPr>
            <w:r>
              <w:rPr>
                <w:rFonts w:hint="default" w:ascii="Times New Roman" w:hAnsi="Times New Roman" w:cs="Times New Roman"/>
                <w:kern w:val="2"/>
                <w:sz w:val="18"/>
                <w:szCs w:val="18"/>
                <w:vertAlign w:val="baseline"/>
                <w:lang w:val="en-US" w:eastAsia="zh-CN"/>
              </w:rPr>
              <w:t>200</w:t>
            </w:r>
          </w:p>
        </w:tc>
      </w:tr>
      <w:tr w14:paraId="4B38BA5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c>
          <w:tcPr>
            <w:tcW w:w="8522" w:type="dxa"/>
            <w:gridSpan w:val="5"/>
            <w:tcBorders>
              <w:top w:val="single" w:color="auto" w:sz="8" w:space="0"/>
              <w:left w:val="single" w:color="auto" w:sz="12" w:space="0"/>
              <w:bottom w:val="single" w:color="auto" w:sz="12" w:space="0"/>
              <w:right w:val="single" w:color="auto" w:sz="12" w:space="0"/>
            </w:tcBorders>
            <w:vAlign w:val="center"/>
          </w:tcPr>
          <w:p w14:paraId="63CA31BF">
            <w:pPr>
              <w:pStyle w:val="18"/>
              <w:keepNext w:val="0"/>
              <w:keepLines w:val="0"/>
              <w:pageBreakBefore w:val="0"/>
              <w:widowControl/>
              <w:kinsoku/>
              <w:wordWrap/>
              <w:overflowPunct/>
              <w:topLinePunct w:val="0"/>
              <w:autoSpaceDE w:val="0"/>
              <w:autoSpaceDN w:val="0"/>
              <w:bidi w:val="0"/>
              <w:adjustRightInd/>
              <w:snapToGrid/>
              <w:ind w:firstLine="360" w:firstLineChars="200"/>
              <w:jc w:val="both"/>
              <w:textAlignment w:val="auto"/>
              <w:rPr>
                <w:rFonts w:hint="default" w:ascii="Times New Roman" w:hAnsi="Times New Roman" w:cs="Times New Roman"/>
                <w:kern w:val="2"/>
                <w:sz w:val="18"/>
                <w:szCs w:val="18"/>
                <w:vertAlign w:val="baseline"/>
                <w:lang w:val="en-US" w:eastAsia="zh-CN"/>
              </w:rPr>
            </w:pPr>
            <w:r>
              <w:rPr>
                <w:rFonts w:hint="eastAsia" w:ascii="黑体" w:hAnsi="黑体" w:eastAsia="黑体" w:cs="黑体"/>
                <w:kern w:val="2"/>
                <w:sz w:val="18"/>
                <w:szCs w:val="18"/>
                <w:vertAlign w:val="baseline"/>
                <w:lang w:eastAsia="zh-CN"/>
              </w:rPr>
              <w:t>注：</w:t>
            </w:r>
            <w:r>
              <w:rPr>
                <w:rFonts w:hint="default" w:ascii="Times New Roman" w:hAnsi="Times New Roman" w:cs="Times New Roman"/>
                <w:i/>
                <w:iCs/>
                <w:kern w:val="2"/>
                <w:sz w:val="18"/>
                <w:szCs w:val="18"/>
                <w:vertAlign w:val="baseline"/>
                <w:lang w:val="en-US" w:eastAsia="zh-CN"/>
              </w:rPr>
              <w:t>S</w:t>
            </w:r>
            <w:r>
              <w:rPr>
                <w:rFonts w:hint="default" w:ascii="Times New Roman" w:hAnsi="Times New Roman" w:cs="Times New Roman"/>
                <w:i/>
                <w:iCs/>
                <w:kern w:val="2"/>
                <w:sz w:val="18"/>
                <w:szCs w:val="18"/>
                <w:vertAlign w:val="subscript"/>
                <w:lang w:val="en-US" w:eastAsia="zh-CN"/>
              </w:rPr>
              <w:t>i</w:t>
            </w:r>
            <w:r>
              <w:rPr>
                <w:rFonts w:hint="default" w:ascii="Times New Roman" w:hAnsi="Times New Roman" w:cs="Times New Roman"/>
                <w:kern w:val="2"/>
                <w:sz w:val="18"/>
                <w:szCs w:val="18"/>
                <w:vertAlign w:val="baseline"/>
                <w:lang w:eastAsia="zh-CN"/>
              </w:rPr>
              <w:t>为</w:t>
            </w:r>
            <w:r>
              <w:rPr>
                <w:rFonts w:hint="default" w:ascii="Times New Roman" w:hAnsi="Times New Roman" w:cs="Times New Roman"/>
                <w:kern w:val="2"/>
                <w:sz w:val="18"/>
                <w:szCs w:val="18"/>
                <w:vertAlign w:val="baseline"/>
                <w:lang w:val="en-US" w:eastAsia="zh-CN"/>
              </w:rPr>
              <w:t>GB15618规定的污染物风险筛选值。</w:t>
            </w:r>
          </w:p>
        </w:tc>
      </w:tr>
    </w:tbl>
    <w:p w14:paraId="050F052C">
      <w:pPr>
        <w:pStyle w:val="18"/>
        <w:rPr>
          <w:rFonts w:hint="eastAsia"/>
          <w:lang w:eastAsia="zh-CN"/>
        </w:rPr>
      </w:pPr>
    </w:p>
    <w:p w14:paraId="6A6AC80E">
      <w:pPr>
        <w:pStyle w:val="18"/>
        <w:rPr>
          <w:rFonts w:hint="eastAsia"/>
          <w:lang w:eastAsia="zh-CN"/>
        </w:rPr>
      </w:pPr>
    </w:p>
    <w:p w14:paraId="4911F385">
      <w:pPr>
        <w:pStyle w:val="21"/>
        <w:rPr>
          <w:rFonts w:hint="eastAsia"/>
        </w:rPr>
      </w:pPr>
      <w:r>
        <w:t>_________________________________</w:t>
      </w:r>
    </w:p>
    <w:p w14:paraId="795B8132">
      <w:pPr>
        <w:widowControl/>
        <w:rPr>
          <w:rFonts w:hint="eastAsia" w:ascii="Times New Roman" w:hAnsi="Times New Roman" w:eastAsia="黑体"/>
          <w:color w:val="000000"/>
          <w:kern w:val="0"/>
          <w:sz w:val="32"/>
          <w:szCs w:val="32"/>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32F16">
    <w:pPr>
      <w:pStyle w:val="7"/>
      <w:jc w:val="center"/>
    </w:pPr>
  </w:p>
  <w:p w14:paraId="5AF0790C">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70D40">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BC76BE3"/>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xm18iOIBAADMAwAADgAA&#10;AAAAAAABACAAAAAeAQAAZHJzL2Uyb0RvYy54bWxQSwUGAAAAAAYABgBZAQAAcgUAAAAA&#10;">
              <v:fill on="f" focussize="0,0"/>
              <v:stroke on="f"/>
              <v:imagedata o:title=""/>
              <o:lock v:ext="edit" aspectratio="f"/>
              <v:textbox inset="0mm,0mm,0mm,0mm" style="mso-fit-shape-to-text:t;">
                <w:txbxContent>
                  <w:p w14:paraId="4BC76BE3"/>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D17CD">
    <w:pPr>
      <w:pStyle w:val="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EFF7CA">
                          <w:pPr>
                            <w:pStyle w:val="7"/>
                            <w:jc w:val="center"/>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n7rSMkBAACZAwAADgAAAGRycy9lMm9Eb2MueG1srVPNjtMwEL4j8Q6W&#10;79TZSkA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L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GfutIyQEAAJkDAAAOAAAAAAAAAAEAIAAAAB4BAABkcnMvZTJvRG9j&#10;LnhtbFBLBQYAAAAABgAGAFkBAABZBQAAAAA=&#10;">
              <v:fill on="f" focussize="0,0"/>
              <v:stroke on="f"/>
              <v:imagedata o:title=""/>
              <o:lock v:ext="edit" aspectratio="f"/>
              <v:textbox inset="0mm,0mm,0mm,0mm" style="mso-fit-shape-to-text:t;">
                <w:txbxContent>
                  <w:p w14:paraId="28EFF7CA">
                    <w:pPr>
                      <w:pStyle w:val="7"/>
                      <w:jc w:val="center"/>
                    </w:pPr>
                    <w:r>
                      <w:fldChar w:fldCharType="begin"/>
                    </w:r>
                    <w:r>
                      <w:instrText xml:space="preserve"> PAGE   \* MERGEFORMAT </w:instrText>
                    </w:r>
                    <w:r>
                      <w:fldChar w:fldCharType="separate"/>
                    </w:r>
                    <w:r>
                      <w:t>1</w:t>
                    </w:r>
                    <w:r>
                      <w:fldChar w:fldCharType="end"/>
                    </w:r>
                  </w:p>
                </w:txbxContent>
              </v:textbox>
            </v:shape>
          </w:pict>
        </mc:Fallback>
      </mc:AlternateContent>
    </w:r>
  </w:p>
  <w:p w14:paraId="235E4A91">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984B9">
    <w:pPr>
      <w:pStyle w:val="2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7D53FD">
                          <w:pPr>
                            <w:pStyle w:val="7"/>
                          </w:pPr>
                          <w:r>
                            <w:fldChar w:fldCharType="begin"/>
                          </w:r>
                          <w:r>
                            <w:instrText xml:space="preserve"> PAGE  \* MERGEFORMAT </w:instrText>
                          </w:r>
                          <w:r>
                            <w:fldChar w:fldCharType="separate"/>
                          </w:r>
                          <w:r>
                            <w:t>- 7 -</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wSzW94BAAC+AwAADgAAAGRycy9lMm9Eb2MueG1srVPNjtMwEL4j8Q6W&#10;7zTZSou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7BLNb3gEAAL4DAAAOAAAAAAAA&#10;AAEAIAAAAB4BAABkcnMvZTJvRG9jLnhtbFBLBQYAAAAABgAGAFkBAABuBQAAAAA=&#10;">
              <v:fill on="f" focussize="0,0"/>
              <v:stroke on="f"/>
              <v:imagedata o:title=""/>
              <o:lock v:ext="edit" aspectratio="f"/>
              <v:textbox inset="0mm,0mm,0mm,0mm" style="mso-fit-shape-to-text:t;">
                <w:txbxContent>
                  <w:p w14:paraId="7E7D53FD">
                    <w:pPr>
                      <w:pStyle w:val="7"/>
                    </w:pPr>
                    <w:r>
                      <w:fldChar w:fldCharType="begin"/>
                    </w:r>
                    <w:r>
                      <w:instrText xml:space="preserve"> PAGE  \* MERGEFORMAT </w:instrText>
                    </w:r>
                    <w:r>
                      <w:fldChar w:fldCharType="separate"/>
                    </w:r>
                    <w:r>
                      <w:t>- 7 -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B988C">
    <w:pPr>
      <w:pStyle w:val="22"/>
      <w:spacing w:after="0"/>
    </w:pPr>
    <w:r>
      <w:rPr>
        <w:rFonts w:hint="eastAsia"/>
      </w:rPr>
      <w:t>NY/T XXXX</w:t>
    </w:r>
    <w:r>
      <w:t>—20</w:t>
    </w:r>
    <w:r>
      <w:rPr>
        <w:rFonts w:hint="eastAsia"/>
      </w:rPr>
      <w:t>2</w:t>
    </w:r>
    <w:r>
      <w:t>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20"/>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zZWZhZTY1ZWVhMGZjNzU1MzE4MmFhNDViZjBmYjAifQ=="/>
  </w:docVars>
  <w:rsids>
    <w:rsidRoot w:val="263A55D7"/>
    <w:rsid w:val="047F5937"/>
    <w:rsid w:val="07764119"/>
    <w:rsid w:val="0A3F4E1F"/>
    <w:rsid w:val="0B8E1C76"/>
    <w:rsid w:val="0BB23F4F"/>
    <w:rsid w:val="0EDF1282"/>
    <w:rsid w:val="17DE73CD"/>
    <w:rsid w:val="17F33FD6"/>
    <w:rsid w:val="1980702D"/>
    <w:rsid w:val="1AB33062"/>
    <w:rsid w:val="1AFB9118"/>
    <w:rsid w:val="1AFFAA21"/>
    <w:rsid w:val="1C662FDF"/>
    <w:rsid w:val="1EFD7A0B"/>
    <w:rsid w:val="1F7FDBC2"/>
    <w:rsid w:val="1FC33FD3"/>
    <w:rsid w:val="1FD7073D"/>
    <w:rsid w:val="1FDE3E98"/>
    <w:rsid w:val="1FDF96F0"/>
    <w:rsid w:val="263A55D7"/>
    <w:rsid w:val="27570112"/>
    <w:rsid w:val="27DC8B81"/>
    <w:rsid w:val="28FA70CC"/>
    <w:rsid w:val="29216576"/>
    <w:rsid w:val="2B4F7546"/>
    <w:rsid w:val="2DCBCD5C"/>
    <w:rsid w:val="2DF51605"/>
    <w:rsid w:val="2DFE7AFC"/>
    <w:rsid w:val="2F6E66AB"/>
    <w:rsid w:val="2F7FCC34"/>
    <w:rsid w:val="2F9F84E7"/>
    <w:rsid w:val="2FD70823"/>
    <w:rsid w:val="30BE9D87"/>
    <w:rsid w:val="312EC7D5"/>
    <w:rsid w:val="33DB7488"/>
    <w:rsid w:val="33FF22A5"/>
    <w:rsid w:val="35B3097E"/>
    <w:rsid w:val="36FCBC2C"/>
    <w:rsid w:val="36FDD628"/>
    <w:rsid w:val="36FE6F8D"/>
    <w:rsid w:val="37BE5581"/>
    <w:rsid w:val="37D2D17C"/>
    <w:rsid w:val="37F622F0"/>
    <w:rsid w:val="37F73875"/>
    <w:rsid w:val="37FF5A50"/>
    <w:rsid w:val="392F1232"/>
    <w:rsid w:val="39CD88E3"/>
    <w:rsid w:val="39FE86E6"/>
    <w:rsid w:val="3ABFECDC"/>
    <w:rsid w:val="3B47159D"/>
    <w:rsid w:val="3BFB6566"/>
    <w:rsid w:val="3D6F9E62"/>
    <w:rsid w:val="3D75C256"/>
    <w:rsid w:val="3D76E8C1"/>
    <w:rsid w:val="3D7FC903"/>
    <w:rsid w:val="3DEFA2A7"/>
    <w:rsid w:val="3DFF223C"/>
    <w:rsid w:val="3EBF4997"/>
    <w:rsid w:val="3EFB14A5"/>
    <w:rsid w:val="3EFD77B0"/>
    <w:rsid w:val="3F3FDD85"/>
    <w:rsid w:val="3F47465E"/>
    <w:rsid w:val="3F7F05A3"/>
    <w:rsid w:val="3FB5EE87"/>
    <w:rsid w:val="3FBFAD73"/>
    <w:rsid w:val="3FDDD507"/>
    <w:rsid w:val="3FDFDDAB"/>
    <w:rsid w:val="3FE54D1F"/>
    <w:rsid w:val="3FEA9EAC"/>
    <w:rsid w:val="3FEFA628"/>
    <w:rsid w:val="43DFE4CF"/>
    <w:rsid w:val="47FFFA6C"/>
    <w:rsid w:val="4B7CDB12"/>
    <w:rsid w:val="4B7E3003"/>
    <w:rsid w:val="4BF3FEE9"/>
    <w:rsid w:val="4BFD00F8"/>
    <w:rsid w:val="4DAB5A1D"/>
    <w:rsid w:val="4DEF1181"/>
    <w:rsid w:val="4DF771F4"/>
    <w:rsid w:val="4DF7AFD8"/>
    <w:rsid w:val="4F3FA4B8"/>
    <w:rsid w:val="4F766718"/>
    <w:rsid w:val="4F7A401A"/>
    <w:rsid w:val="4FB7FB6E"/>
    <w:rsid w:val="4FCE90F7"/>
    <w:rsid w:val="4FDC41BA"/>
    <w:rsid w:val="4FDF4C33"/>
    <w:rsid w:val="4FDF61A5"/>
    <w:rsid w:val="53D6A0C6"/>
    <w:rsid w:val="545D6408"/>
    <w:rsid w:val="55F7535E"/>
    <w:rsid w:val="57BD4523"/>
    <w:rsid w:val="57DFB370"/>
    <w:rsid w:val="587B202F"/>
    <w:rsid w:val="59F90B0A"/>
    <w:rsid w:val="5A7BAF94"/>
    <w:rsid w:val="5AFD38CC"/>
    <w:rsid w:val="5B3F599F"/>
    <w:rsid w:val="5CBE51E2"/>
    <w:rsid w:val="5D3EA564"/>
    <w:rsid w:val="5D3F2BB5"/>
    <w:rsid w:val="5D568C8A"/>
    <w:rsid w:val="5DBFF3DB"/>
    <w:rsid w:val="5DF4792A"/>
    <w:rsid w:val="5DF7C893"/>
    <w:rsid w:val="5EB7C10C"/>
    <w:rsid w:val="5ED9BD7D"/>
    <w:rsid w:val="5EDC633F"/>
    <w:rsid w:val="5EF8F929"/>
    <w:rsid w:val="5EFB35F9"/>
    <w:rsid w:val="5EFF9D34"/>
    <w:rsid w:val="5EFFA79B"/>
    <w:rsid w:val="5F3F1563"/>
    <w:rsid w:val="5FCD8C28"/>
    <w:rsid w:val="5FCFCA65"/>
    <w:rsid w:val="5FDF2FE5"/>
    <w:rsid w:val="5FEBC5C1"/>
    <w:rsid w:val="5FEF4638"/>
    <w:rsid w:val="5FFDE2D7"/>
    <w:rsid w:val="5FFFC60B"/>
    <w:rsid w:val="62F75501"/>
    <w:rsid w:val="633FA0F5"/>
    <w:rsid w:val="63BF127C"/>
    <w:rsid w:val="66F57509"/>
    <w:rsid w:val="67DEEBD3"/>
    <w:rsid w:val="68827145"/>
    <w:rsid w:val="693F4DDC"/>
    <w:rsid w:val="6AFE2981"/>
    <w:rsid w:val="6B7F3FFD"/>
    <w:rsid w:val="6BBFAFFF"/>
    <w:rsid w:val="6BCE6B0E"/>
    <w:rsid w:val="6BDF4AB5"/>
    <w:rsid w:val="6BFEBA03"/>
    <w:rsid w:val="6BFF20E4"/>
    <w:rsid w:val="6CDF1C38"/>
    <w:rsid w:val="6D5A0752"/>
    <w:rsid w:val="6D67D327"/>
    <w:rsid w:val="6D75352E"/>
    <w:rsid w:val="6D798B10"/>
    <w:rsid w:val="6D7D61E3"/>
    <w:rsid w:val="6DA5FE07"/>
    <w:rsid w:val="6DB27101"/>
    <w:rsid w:val="6DFBC6BA"/>
    <w:rsid w:val="6DFEA1DE"/>
    <w:rsid w:val="6DFF3D9C"/>
    <w:rsid w:val="6EB96629"/>
    <w:rsid w:val="6F57F6D4"/>
    <w:rsid w:val="6F785D5A"/>
    <w:rsid w:val="6F7C3FEE"/>
    <w:rsid w:val="6F7F0C03"/>
    <w:rsid w:val="6F7F5F92"/>
    <w:rsid w:val="6F7F9391"/>
    <w:rsid w:val="6F9B6E40"/>
    <w:rsid w:val="6FAF6FB1"/>
    <w:rsid w:val="6FBF1054"/>
    <w:rsid w:val="6FC77DB5"/>
    <w:rsid w:val="6FEF0D7C"/>
    <w:rsid w:val="6FF3E77D"/>
    <w:rsid w:val="6FFB99D9"/>
    <w:rsid w:val="6FFF36C0"/>
    <w:rsid w:val="6FFF9B06"/>
    <w:rsid w:val="70DDBDD3"/>
    <w:rsid w:val="715BD77A"/>
    <w:rsid w:val="73DDE572"/>
    <w:rsid w:val="73EBB390"/>
    <w:rsid w:val="73FB4D1B"/>
    <w:rsid w:val="74FD3382"/>
    <w:rsid w:val="74FF950D"/>
    <w:rsid w:val="75DAFD89"/>
    <w:rsid w:val="75DF5734"/>
    <w:rsid w:val="75EF3592"/>
    <w:rsid w:val="75EF3EC0"/>
    <w:rsid w:val="76AF1B27"/>
    <w:rsid w:val="76FB17C1"/>
    <w:rsid w:val="76FFBA36"/>
    <w:rsid w:val="76FFC022"/>
    <w:rsid w:val="77776942"/>
    <w:rsid w:val="777E717F"/>
    <w:rsid w:val="77BF5501"/>
    <w:rsid w:val="77D59AB8"/>
    <w:rsid w:val="77EEB1ED"/>
    <w:rsid w:val="77EF4330"/>
    <w:rsid w:val="77F233C2"/>
    <w:rsid w:val="77F7F656"/>
    <w:rsid w:val="77FB1F71"/>
    <w:rsid w:val="77FB6BC7"/>
    <w:rsid w:val="77FD87BC"/>
    <w:rsid w:val="77FF28A2"/>
    <w:rsid w:val="77FF6990"/>
    <w:rsid w:val="77FF8106"/>
    <w:rsid w:val="77FFBAC2"/>
    <w:rsid w:val="77FFCB6B"/>
    <w:rsid w:val="78BEFBAF"/>
    <w:rsid w:val="78F50A8F"/>
    <w:rsid w:val="78FBE0E3"/>
    <w:rsid w:val="78FFF1C4"/>
    <w:rsid w:val="796E978E"/>
    <w:rsid w:val="79DBE168"/>
    <w:rsid w:val="79EBDCCA"/>
    <w:rsid w:val="79EF9108"/>
    <w:rsid w:val="79F5EA54"/>
    <w:rsid w:val="79FDF8F1"/>
    <w:rsid w:val="7A5F5D47"/>
    <w:rsid w:val="7ADF6067"/>
    <w:rsid w:val="7AFD0F96"/>
    <w:rsid w:val="7B498BD1"/>
    <w:rsid w:val="7B5EDA65"/>
    <w:rsid w:val="7B79F44E"/>
    <w:rsid w:val="7B97CC2A"/>
    <w:rsid w:val="7B9CAD34"/>
    <w:rsid w:val="7BAFEE6E"/>
    <w:rsid w:val="7BDB68E7"/>
    <w:rsid w:val="7BDD33FC"/>
    <w:rsid w:val="7BDECE93"/>
    <w:rsid w:val="7BFB36C0"/>
    <w:rsid w:val="7BFEC311"/>
    <w:rsid w:val="7CBF5E4F"/>
    <w:rsid w:val="7CDFF74A"/>
    <w:rsid w:val="7CEBA3BD"/>
    <w:rsid w:val="7CFF4C96"/>
    <w:rsid w:val="7D373EBE"/>
    <w:rsid w:val="7D7B3E4C"/>
    <w:rsid w:val="7D7F8D99"/>
    <w:rsid w:val="7DB56DCC"/>
    <w:rsid w:val="7DBC5F4A"/>
    <w:rsid w:val="7DBF4814"/>
    <w:rsid w:val="7DDF63AF"/>
    <w:rsid w:val="7DF7B4E8"/>
    <w:rsid w:val="7DFDEF24"/>
    <w:rsid w:val="7DFECAC2"/>
    <w:rsid w:val="7E5EE51F"/>
    <w:rsid w:val="7E73DB2E"/>
    <w:rsid w:val="7E760BAC"/>
    <w:rsid w:val="7EBF02DF"/>
    <w:rsid w:val="7EBF79CE"/>
    <w:rsid w:val="7EE7B205"/>
    <w:rsid w:val="7EFF903D"/>
    <w:rsid w:val="7EFFA791"/>
    <w:rsid w:val="7EFFB68F"/>
    <w:rsid w:val="7F0E55B2"/>
    <w:rsid w:val="7F2FBA11"/>
    <w:rsid w:val="7F3FB239"/>
    <w:rsid w:val="7F6B5D4A"/>
    <w:rsid w:val="7F6FC679"/>
    <w:rsid w:val="7F7A2BEF"/>
    <w:rsid w:val="7F7F3D35"/>
    <w:rsid w:val="7F9F9ED5"/>
    <w:rsid w:val="7FA60739"/>
    <w:rsid w:val="7FAD68F0"/>
    <w:rsid w:val="7FB7D85F"/>
    <w:rsid w:val="7FBE24FD"/>
    <w:rsid w:val="7FBF813E"/>
    <w:rsid w:val="7FCDE97F"/>
    <w:rsid w:val="7FCE96E0"/>
    <w:rsid w:val="7FCF71BE"/>
    <w:rsid w:val="7FD3F071"/>
    <w:rsid w:val="7FD92177"/>
    <w:rsid w:val="7FDC292E"/>
    <w:rsid w:val="7FDCAD1D"/>
    <w:rsid w:val="7FDE8962"/>
    <w:rsid w:val="7FE71A7E"/>
    <w:rsid w:val="7FE75FE4"/>
    <w:rsid w:val="7FEDAA27"/>
    <w:rsid w:val="7FEF6FC1"/>
    <w:rsid w:val="7FF5C005"/>
    <w:rsid w:val="7FF6CDFD"/>
    <w:rsid w:val="7FF9C767"/>
    <w:rsid w:val="7FFA3FEC"/>
    <w:rsid w:val="7FFA5056"/>
    <w:rsid w:val="7FFBD428"/>
    <w:rsid w:val="7FFF2EE3"/>
    <w:rsid w:val="7FFF95EB"/>
    <w:rsid w:val="7FFFDB2C"/>
    <w:rsid w:val="86DFB922"/>
    <w:rsid w:val="86FC7143"/>
    <w:rsid w:val="87AF095A"/>
    <w:rsid w:val="89BF5AE0"/>
    <w:rsid w:val="8BB21BE6"/>
    <w:rsid w:val="8F7D6911"/>
    <w:rsid w:val="92DB7FA7"/>
    <w:rsid w:val="93EB3CE6"/>
    <w:rsid w:val="971F13EF"/>
    <w:rsid w:val="97BFF68D"/>
    <w:rsid w:val="97D7067B"/>
    <w:rsid w:val="97FD7D60"/>
    <w:rsid w:val="9A5FDB99"/>
    <w:rsid w:val="9B75A33C"/>
    <w:rsid w:val="9BFEC7BD"/>
    <w:rsid w:val="9D16EA01"/>
    <w:rsid w:val="9D793FA8"/>
    <w:rsid w:val="9DDF72D2"/>
    <w:rsid w:val="9EFFA895"/>
    <w:rsid w:val="9EFFD243"/>
    <w:rsid w:val="9F5D5E29"/>
    <w:rsid w:val="9FDF4140"/>
    <w:rsid w:val="9FFDE6CE"/>
    <w:rsid w:val="A1FB611A"/>
    <w:rsid w:val="A3FDC3AD"/>
    <w:rsid w:val="AC79E20A"/>
    <w:rsid w:val="ACDD2161"/>
    <w:rsid w:val="ACFF4D83"/>
    <w:rsid w:val="AD979A2D"/>
    <w:rsid w:val="ADF628D7"/>
    <w:rsid w:val="AE976A22"/>
    <w:rsid w:val="AF5E97B0"/>
    <w:rsid w:val="AFBFFBFD"/>
    <w:rsid w:val="AFCF23E9"/>
    <w:rsid w:val="AFD37E99"/>
    <w:rsid w:val="AFF48E6A"/>
    <w:rsid w:val="B2FE57CB"/>
    <w:rsid w:val="B4F52B44"/>
    <w:rsid w:val="B57FCBEF"/>
    <w:rsid w:val="B5CB79AD"/>
    <w:rsid w:val="B67DB5EF"/>
    <w:rsid w:val="B7575C0F"/>
    <w:rsid w:val="B765FA03"/>
    <w:rsid w:val="B77C3695"/>
    <w:rsid w:val="B7FEC9A6"/>
    <w:rsid w:val="B7FEF2E1"/>
    <w:rsid w:val="B7FF3860"/>
    <w:rsid w:val="B87D2F9F"/>
    <w:rsid w:val="B97B7352"/>
    <w:rsid w:val="BAE32F89"/>
    <w:rsid w:val="BAF61961"/>
    <w:rsid w:val="BBBFBDEE"/>
    <w:rsid w:val="BC1709C0"/>
    <w:rsid w:val="BCFBA558"/>
    <w:rsid w:val="BD7F7BE9"/>
    <w:rsid w:val="BD9FD13C"/>
    <w:rsid w:val="BDBF0215"/>
    <w:rsid w:val="BDBFA64C"/>
    <w:rsid w:val="BDD7E7E7"/>
    <w:rsid w:val="BDDF0959"/>
    <w:rsid w:val="BDDF464F"/>
    <w:rsid w:val="BDEDE0BD"/>
    <w:rsid w:val="BDFC7B52"/>
    <w:rsid w:val="BEDF369D"/>
    <w:rsid w:val="BEFA049A"/>
    <w:rsid w:val="BEFD4E50"/>
    <w:rsid w:val="BF36944D"/>
    <w:rsid w:val="BF7A1527"/>
    <w:rsid w:val="BF7ED878"/>
    <w:rsid w:val="BF7FED4F"/>
    <w:rsid w:val="BF868111"/>
    <w:rsid w:val="BFBFD0F6"/>
    <w:rsid w:val="BFF32037"/>
    <w:rsid w:val="BFF5F663"/>
    <w:rsid w:val="C5D63BAC"/>
    <w:rsid w:val="C6FEC637"/>
    <w:rsid w:val="C7E8DC6E"/>
    <w:rsid w:val="CA4CBA2A"/>
    <w:rsid w:val="CB564CA8"/>
    <w:rsid w:val="CB7BE9A6"/>
    <w:rsid w:val="CBFA3421"/>
    <w:rsid w:val="CD7FC304"/>
    <w:rsid w:val="CDAF1286"/>
    <w:rsid w:val="CEFC5B0A"/>
    <w:rsid w:val="CF43AF48"/>
    <w:rsid w:val="D1A7CE60"/>
    <w:rsid w:val="D2BDF68C"/>
    <w:rsid w:val="D2EFBB59"/>
    <w:rsid w:val="D33D02BC"/>
    <w:rsid w:val="D4FA4E54"/>
    <w:rsid w:val="D6FF2403"/>
    <w:rsid w:val="D7BF83E3"/>
    <w:rsid w:val="D7D65C95"/>
    <w:rsid w:val="D7EB11A3"/>
    <w:rsid w:val="D7EF9C19"/>
    <w:rsid w:val="DA17143E"/>
    <w:rsid w:val="DAFFC3F1"/>
    <w:rsid w:val="DB2CEB22"/>
    <w:rsid w:val="DB9BB1E5"/>
    <w:rsid w:val="DBBB03DF"/>
    <w:rsid w:val="DBDDFAD3"/>
    <w:rsid w:val="DBE7414D"/>
    <w:rsid w:val="DBEFB5BE"/>
    <w:rsid w:val="DBFF9D0A"/>
    <w:rsid w:val="DC7F153E"/>
    <w:rsid w:val="DD3F3505"/>
    <w:rsid w:val="DD795EEE"/>
    <w:rsid w:val="DDAE36D0"/>
    <w:rsid w:val="DDDFC3BB"/>
    <w:rsid w:val="DDFACEFA"/>
    <w:rsid w:val="DDFF737F"/>
    <w:rsid w:val="DDFF9529"/>
    <w:rsid w:val="DE5FF833"/>
    <w:rsid w:val="DECB35AD"/>
    <w:rsid w:val="DEDF6035"/>
    <w:rsid w:val="DF3E0CD2"/>
    <w:rsid w:val="DF791D09"/>
    <w:rsid w:val="DF7B1E08"/>
    <w:rsid w:val="DF7B36F5"/>
    <w:rsid w:val="DF7FCEEA"/>
    <w:rsid w:val="DF7FFB2B"/>
    <w:rsid w:val="DF9BB8A7"/>
    <w:rsid w:val="DFB3C9EC"/>
    <w:rsid w:val="DFBA7B57"/>
    <w:rsid w:val="DFBF0497"/>
    <w:rsid w:val="DFBFB2CF"/>
    <w:rsid w:val="DFEFCD0B"/>
    <w:rsid w:val="DFF5DFE4"/>
    <w:rsid w:val="DFFEDF19"/>
    <w:rsid w:val="DFFFEC71"/>
    <w:rsid w:val="E19E3831"/>
    <w:rsid w:val="E3BF757E"/>
    <w:rsid w:val="E3E8E071"/>
    <w:rsid w:val="E3FFC625"/>
    <w:rsid w:val="E5EF5B51"/>
    <w:rsid w:val="E6DA94D0"/>
    <w:rsid w:val="E7DFA589"/>
    <w:rsid w:val="E7FF163A"/>
    <w:rsid w:val="E8FAE47B"/>
    <w:rsid w:val="EBFE666A"/>
    <w:rsid w:val="ED233F0C"/>
    <w:rsid w:val="ED3FC58C"/>
    <w:rsid w:val="ED6F0739"/>
    <w:rsid w:val="ED799A66"/>
    <w:rsid w:val="EDF9E566"/>
    <w:rsid w:val="EDFFF99E"/>
    <w:rsid w:val="EE559DB4"/>
    <w:rsid w:val="EE7CDD40"/>
    <w:rsid w:val="EEA7A42C"/>
    <w:rsid w:val="EEBDDD54"/>
    <w:rsid w:val="EEF0F1E3"/>
    <w:rsid w:val="EEFD50A2"/>
    <w:rsid w:val="EF1778F3"/>
    <w:rsid w:val="EF7FC0B2"/>
    <w:rsid w:val="EF95800F"/>
    <w:rsid w:val="EFBBCFC9"/>
    <w:rsid w:val="EFCB0C6B"/>
    <w:rsid w:val="EFD9E909"/>
    <w:rsid w:val="EFEF061D"/>
    <w:rsid w:val="EFEF41F5"/>
    <w:rsid w:val="EFF72B79"/>
    <w:rsid w:val="EFF77F11"/>
    <w:rsid w:val="EFF7D618"/>
    <w:rsid w:val="F1FEFD9A"/>
    <w:rsid w:val="F25F3DEE"/>
    <w:rsid w:val="F2B7287B"/>
    <w:rsid w:val="F2FE1AF4"/>
    <w:rsid w:val="F2FF0199"/>
    <w:rsid w:val="F3B7F445"/>
    <w:rsid w:val="F3BF0BDC"/>
    <w:rsid w:val="F3BF219E"/>
    <w:rsid w:val="F3C75E98"/>
    <w:rsid w:val="F3CFE235"/>
    <w:rsid w:val="F3D77742"/>
    <w:rsid w:val="F3FEC98A"/>
    <w:rsid w:val="F48F1FB5"/>
    <w:rsid w:val="F4DB7CAA"/>
    <w:rsid w:val="F4EE8155"/>
    <w:rsid w:val="F4FFC145"/>
    <w:rsid w:val="F4FFD534"/>
    <w:rsid w:val="F5BC2D04"/>
    <w:rsid w:val="F5DFEDB8"/>
    <w:rsid w:val="F65F53C6"/>
    <w:rsid w:val="F6EF9BFE"/>
    <w:rsid w:val="F6F99318"/>
    <w:rsid w:val="F6FEF49E"/>
    <w:rsid w:val="F75D2977"/>
    <w:rsid w:val="F78C3015"/>
    <w:rsid w:val="F7B9A549"/>
    <w:rsid w:val="F7BBC5A0"/>
    <w:rsid w:val="F7CF333D"/>
    <w:rsid w:val="F7DDE360"/>
    <w:rsid w:val="F7F78C3E"/>
    <w:rsid w:val="F7FDD461"/>
    <w:rsid w:val="F7FF3D44"/>
    <w:rsid w:val="FA6FBDB2"/>
    <w:rsid w:val="FA8F2DD0"/>
    <w:rsid w:val="FA8FC596"/>
    <w:rsid w:val="FAB79458"/>
    <w:rsid w:val="FAE697AF"/>
    <w:rsid w:val="FAF65534"/>
    <w:rsid w:val="FAF7B10F"/>
    <w:rsid w:val="FAFB3CB2"/>
    <w:rsid w:val="FAFFA747"/>
    <w:rsid w:val="FB3F837A"/>
    <w:rsid w:val="FB65375A"/>
    <w:rsid w:val="FB9FF26D"/>
    <w:rsid w:val="FB9FF393"/>
    <w:rsid w:val="FBD67B81"/>
    <w:rsid w:val="FBD8673C"/>
    <w:rsid w:val="FBDD949B"/>
    <w:rsid w:val="FBEDC8BE"/>
    <w:rsid w:val="FBEF64AE"/>
    <w:rsid w:val="FBEFDF96"/>
    <w:rsid w:val="FBFBFE4F"/>
    <w:rsid w:val="FCF30B6B"/>
    <w:rsid w:val="FCFE1433"/>
    <w:rsid w:val="FCFF3067"/>
    <w:rsid w:val="FD57516E"/>
    <w:rsid w:val="FD7BEF92"/>
    <w:rsid w:val="FD7FC2C4"/>
    <w:rsid w:val="FDBBD939"/>
    <w:rsid w:val="FDBE1487"/>
    <w:rsid w:val="FDDEBBCE"/>
    <w:rsid w:val="FDDF84BA"/>
    <w:rsid w:val="FDEB6A56"/>
    <w:rsid w:val="FDF58BC8"/>
    <w:rsid w:val="FDF5A4FA"/>
    <w:rsid w:val="FDFD9061"/>
    <w:rsid w:val="FDFFC252"/>
    <w:rsid w:val="FDFFDDE5"/>
    <w:rsid w:val="FE4F289E"/>
    <w:rsid w:val="FE7DE0B5"/>
    <w:rsid w:val="FEB918C5"/>
    <w:rsid w:val="FED4371F"/>
    <w:rsid w:val="FED751DD"/>
    <w:rsid w:val="FEDD18C5"/>
    <w:rsid w:val="FEDE06DE"/>
    <w:rsid w:val="FEE5C800"/>
    <w:rsid w:val="FEFC2DF8"/>
    <w:rsid w:val="FEFFF359"/>
    <w:rsid w:val="FF0B2FE0"/>
    <w:rsid w:val="FF351642"/>
    <w:rsid w:val="FF3FC455"/>
    <w:rsid w:val="FF4DA5FF"/>
    <w:rsid w:val="FF5B44D0"/>
    <w:rsid w:val="FF672CA7"/>
    <w:rsid w:val="FF6F7539"/>
    <w:rsid w:val="FF7C0F43"/>
    <w:rsid w:val="FF7F3371"/>
    <w:rsid w:val="FF87FB6C"/>
    <w:rsid w:val="FFB7153D"/>
    <w:rsid w:val="FFB7EA6A"/>
    <w:rsid w:val="FFBFEDCC"/>
    <w:rsid w:val="FFCE30C9"/>
    <w:rsid w:val="FFD5A1DF"/>
    <w:rsid w:val="FFD8F242"/>
    <w:rsid w:val="FFD91D02"/>
    <w:rsid w:val="FFDD5B8A"/>
    <w:rsid w:val="FFDE5326"/>
    <w:rsid w:val="FFDF72DD"/>
    <w:rsid w:val="FFEF16AE"/>
    <w:rsid w:val="FFF231EE"/>
    <w:rsid w:val="FFF3279F"/>
    <w:rsid w:val="FFF664EC"/>
    <w:rsid w:val="FFF95F82"/>
    <w:rsid w:val="FFFAD597"/>
    <w:rsid w:val="FFFCFF74"/>
    <w:rsid w:val="FFFD4A1D"/>
    <w:rsid w:val="FFFEB9CD"/>
    <w:rsid w:val="FFFED20C"/>
    <w:rsid w:val="FFFF163F"/>
    <w:rsid w:val="FFFF785E"/>
    <w:rsid w:val="FFFFD4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caption"/>
    <w:basedOn w:val="1"/>
    <w:next w:val="1"/>
    <w:unhideWhenUsed/>
    <w:qFormat/>
    <w:uiPriority w:val="35"/>
    <w:pPr>
      <w:ind w:firstLine="200" w:firstLineChars="200"/>
      <w:jc w:val="left"/>
    </w:pPr>
    <w:rPr>
      <w:rFonts w:ascii="Cambria" w:hAnsi="Cambria" w:eastAsia="黑体" w:cs="Times New Roman"/>
      <w:sz w:val="20"/>
      <w:szCs w:val="20"/>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3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qFormat/>
    <w:uiPriority w:val="0"/>
    <w:rPr>
      <w:rFonts w:ascii="Times New Roman" w:hAnsi="Times New Roman" w:eastAsia="宋体"/>
      <w:sz w:val="18"/>
    </w:rPr>
  </w:style>
  <w:style w:type="paragraph" w:customStyle="1" w:styleId="1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7">
    <w:name w:val="前言、引言标题"/>
    <w:next w:val="18"/>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9">
    <w:name w:val="目次、标准名称标题"/>
    <w:basedOn w:val="1"/>
    <w:next w:val="18"/>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20">
    <w:name w:val="章标题"/>
    <w:next w:val="18"/>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1">
    <w:name w:val="终结线"/>
    <w:basedOn w:val="1"/>
    <w:qFormat/>
    <w:uiPriority w:val="0"/>
    <w:pPr>
      <w:framePr w:hSpace="181" w:vSpace="181" w:wrap="around" w:vAnchor="text" w:hAnchor="margin" w:xAlign="center" w:y="285"/>
    </w:pPr>
  </w:style>
  <w:style w:type="paragraph" w:customStyle="1" w:styleId="22">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3">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table" w:customStyle="1" w:styleId="24">
    <w:name w:val="Grid Table Light"/>
    <w:basedOn w:val="10"/>
    <w:qFormat/>
    <w:uiPriority w:val="40"/>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Pr>
  </w:style>
  <w:style w:type="paragraph" w:styleId="25">
    <w:name w:val="List Paragraph"/>
    <w:basedOn w:val="1"/>
    <w:qFormat/>
    <w:uiPriority w:val="34"/>
    <w:pPr>
      <w:ind w:firstLine="420" w:firstLineChars="200"/>
    </w:pPr>
  </w:style>
  <w:style w:type="character" w:customStyle="1" w:styleId="26">
    <w:name w:val="fontstyle01"/>
    <w:basedOn w:val="12"/>
    <w:qFormat/>
    <w:uiPriority w:val="0"/>
    <w:rPr>
      <w:rFonts w:ascii="仿宋_GB2312" w:hAnsi="仿宋_GB2312" w:eastAsia="仿宋_GB2312" w:cs="仿宋_GB2312"/>
      <w:color w:val="00000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3685</Words>
  <Characters>4203</Characters>
  <Lines>1</Lines>
  <Paragraphs>1</Paragraphs>
  <TotalTime>1</TotalTime>
  <ScaleCrop>false</ScaleCrop>
  <LinksUpToDate>false</LinksUpToDate>
  <CharactersWithSpaces>4407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2021-11-08T10:55:00Z</dcterms:created>
  <dc:creator>云海</dc:creator>
  <cp:lastModifiedBy>睿</cp:lastModifiedBy>
  <cp:lastPrinted>2023-10-29T23:34:00Z</cp:lastPrinted>
  <dcterms:modified xsi:type="dcterms:W3CDTF">2025-12-19T06:50:04Z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46865CD881A34E85BE0EF0EC41F802DD_13</vt:lpwstr>
  </property>
  <property fmtid="{D5CDD505-2E9C-101B-9397-08002B2CF9AE}" pid="4" name="KSOTemplateDocerSaveRecord">
    <vt:lpwstr>eyJoZGlkIjoiNDNmNzYxZmUwYjlhMjdiZWZiNWQ3ZTBiYTYzNmRiMmEiLCJ1c2VySWQiOiIyODYzODI3MjkifQ==</vt:lpwstr>
  </property>
</Properties>
</file>