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CEC3" w14:textId="77777777" w:rsidR="002E1317" w:rsidRDefault="00000000">
      <w:pPr>
        <w:spacing w:after="0" w:line="240" w:lineRule="auto"/>
        <w:rPr>
          <w:rFonts w:ascii="Times New Roman" w:eastAsia="黑体" w:hAnsi="Times New Roman"/>
        </w:rPr>
      </w:pPr>
      <w:r>
        <w:rPr>
          <w:rFonts w:ascii="Times New Roman" w:eastAsia="黑体" w:hAnsi="Times New Roman"/>
          <w:b/>
          <w:bCs/>
        </w:rPr>
        <w:t>ICS</w:t>
      </w:r>
      <w:r>
        <w:rPr>
          <w:rFonts w:ascii="Times New Roman" w:eastAsia="黑体" w:hAnsi="Times New Roman"/>
        </w:rPr>
        <w:t xml:space="preserve"> 13.080.10</w:t>
      </w:r>
    </w:p>
    <w:p w14:paraId="1AE4D799" w14:textId="77777777" w:rsidR="002E1317" w:rsidRDefault="00000000">
      <w:pPr>
        <w:spacing w:after="0" w:line="240" w:lineRule="auto"/>
        <w:rPr>
          <w:rFonts w:ascii="Times New Roman" w:eastAsia="黑体" w:hAnsi="Times New Roman"/>
        </w:rPr>
      </w:pPr>
      <w:r>
        <w:rPr>
          <w:rFonts w:ascii="Times New Roman" w:eastAsia="黑体" w:hAnsi="Times New Roman"/>
          <w:b/>
          <w:bCs/>
        </w:rPr>
        <w:t>CCS</w:t>
      </w:r>
      <w:r>
        <w:rPr>
          <w:rFonts w:ascii="Times New Roman" w:eastAsia="黑体" w:hAnsi="Times New Roman"/>
        </w:rPr>
        <w:t xml:space="preserve"> </w:t>
      </w:r>
      <w:r>
        <w:rPr>
          <w:rFonts w:ascii="Times New Roman" w:eastAsia="黑体" w:hAnsi="Times New Roman"/>
          <w:b/>
          <w:bCs/>
        </w:rPr>
        <w:t>B</w:t>
      </w:r>
      <w:r>
        <w:rPr>
          <w:rFonts w:ascii="Times New Roman" w:eastAsia="黑体" w:hAnsi="Times New Roman"/>
        </w:rPr>
        <w:t xml:space="preserve"> 10 </w:t>
      </w:r>
    </w:p>
    <w:p w14:paraId="582FCA5E" w14:textId="77777777" w:rsidR="002E1317" w:rsidRDefault="00000000">
      <w:pPr>
        <w:pStyle w:val="aa"/>
        <w:framePr w:w="0" w:hRule="auto" w:hSpace="0" w:vSpace="0" w:wrap="auto" w:hAnchor="text" w:xAlign="left" w:yAlign="inline"/>
        <w:spacing w:after="0" w:line="240" w:lineRule="auto"/>
        <w:ind w:right="628"/>
        <w:rPr>
          <w:rFonts w:ascii="黑体" w:eastAsia="黑体" w:hAnsi="黑体" w:hint="eastAsia"/>
          <w:b w:val="0"/>
          <w:w w:val="130"/>
          <w:szCs w:val="20"/>
        </w:rPr>
      </w:pPr>
      <w:r>
        <w:rPr>
          <w:rFonts w:eastAsia="黑体"/>
          <w:b w:val="0"/>
          <w:spacing w:val="57"/>
          <w:sz w:val="52"/>
          <w:szCs w:val="52"/>
        </w:rPr>
        <w:t xml:space="preserve">             </w:t>
      </w:r>
      <w:r>
        <w:rPr>
          <w:rFonts w:ascii="黑体" w:eastAsia="黑体" w:hAnsi="黑体"/>
          <w:b w:val="0"/>
          <w:w w:val="130"/>
          <w:szCs w:val="20"/>
        </w:rPr>
        <w:t>NY</w:t>
      </w:r>
    </w:p>
    <w:p w14:paraId="3C73646C" w14:textId="77777777" w:rsidR="002E1317" w:rsidRDefault="00000000">
      <w:pPr>
        <w:autoSpaceDE w:val="0"/>
        <w:autoSpaceDN w:val="0"/>
        <w:adjustRightInd w:val="0"/>
        <w:spacing w:after="0" w:line="240" w:lineRule="auto"/>
        <w:jc w:val="center"/>
        <w:rPr>
          <w:rFonts w:ascii="Times New Roman" w:eastAsia="黑体" w:hAnsi="Times New Roman"/>
          <w:spacing w:val="100"/>
          <w:kern w:val="0"/>
          <w:sz w:val="44"/>
          <w:szCs w:val="44"/>
        </w:rPr>
      </w:pPr>
      <w:r>
        <w:rPr>
          <w:rFonts w:ascii="Times New Roman" w:eastAsia="黑体" w:hAnsi="Times New Roman"/>
          <w:spacing w:val="57"/>
          <w:kern w:val="0"/>
          <w:sz w:val="56"/>
          <w:szCs w:val="56"/>
        </w:rPr>
        <w:t>中华人民共和国农业行业标准</w:t>
      </w:r>
    </w:p>
    <w:p w14:paraId="31E048C5" w14:textId="77777777" w:rsidR="002E1317" w:rsidRDefault="00000000">
      <w:pPr>
        <w:pStyle w:val="20"/>
        <w:framePr w:w="0" w:hRule="auto" w:hSpace="0" w:wrap="auto" w:vAnchor="margin" w:hAnchor="text" w:xAlign="left" w:yAlign="inline"/>
        <w:widowControl w:val="0"/>
        <w:kinsoku w:val="0"/>
        <w:overflowPunct w:val="0"/>
        <w:autoSpaceDE w:val="0"/>
        <w:autoSpaceDN w:val="0"/>
        <w:adjustRightInd w:val="0"/>
        <w:spacing w:after="0" w:line="240" w:lineRule="auto"/>
        <w:ind w:right="554"/>
        <w:textAlignment w:val="center"/>
        <w:rPr>
          <w:rFonts w:hAnsi="黑体" w:hint="eastAsia"/>
          <w:szCs w:val="20"/>
        </w:rPr>
      </w:pPr>
      <w:r>
        <w:rPr>
          <w:rFonts w:hAnsi="黑体"/>
          <w:szCs w:val="20"/>
        </w:rPr>
        <w:t>NY/T  XXXX-202X</w:t>
      </w:r>
    </w:p>
    <w:p w14:paraId="045476A0" w14:textId="77777777" w:rsidR="002E1317" w:rsidRDefault="00000000">
      <w:pPr>
        <w:spacing w:after="0" w:line="240" w:lineRule="auto"/>
        <w:rPr>
          <w:rFonts w:ascii="Times New Roman" w:hAnsi="Times New Roman"/>
          <w:b/>
          <w:sz w:val="32"/>
          <w:szCs w:val="32"/>
        </w:rPr>
      </w:pPr>
      <w:r>
        <w:rPr>
          <w:rFonts w:ascii="Times New Roman" w:hAnsi="Times New Roman"/>
          <w:b/>
          <w:noProof/>
          <w:sz w:val="32"/>
          <w:szCs w:val="32"/>
        </w:rPr>
        <mc:AlternateContent>
          <mc:Choice Requires="wps">
            <w:drawing>
              <wp:anchor distT="0" distB="0" distL="114300" distR="114300" simplePos="0" relativeHeight="251659264" behindDoc="0" locked="0" layoutInCell="1" allowOverlap="1" wp14:anchorId="409D1355" wp14:editId="64FB6F1B">
                <wp:simplePos x="0" y="0"/>
                <wp:positionH relativeFrom="margin">
                  <wp:align>center</wp:align>
                </wp:positionH>
                <wp:positionV relativeFrom="paragraph">
                  <wp:posOffset>13335</wp:posOffset>
                </wp:positionV>
                <wp:extent cx="6012180" cy="19050"/>
                <wp:effectExtent l="0" t="0" r="26670" b="1905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flip:y;margin-top:1.05pt;height:1.5pt;width:473.4pt;mso-position-horizontal:center;mso-position-horizontal-relative:margin;z-index:251659264;mso-width-relative:page;mso-height-relative:page;" filled="f" stroked="t" coordsize="21600,21600" o:gfxdata="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9hb10wAAAAQBAAAPAAAAAAAAAAEAIAAAACIAAABkcnMvZG93bnJldi54&#10;bWxQSwECFAAUAAAACACHTuJAsKSwSP8BAAD0AwAADgAAAAAAAAABACAAAAAiAQAAZHJzL2Uyb0Rv&#10;Yy54bWxQSwUGAAAAAAYABgBZAQAAkwUAAAAA&#10;">
                <v:fill on="f" focussize="0,0"/>
                <v:stroke color="#000000" joinstyle="round"/>
                <v:imagedata o:title=""/>
                <o:lock v:ext="edit" aspectratio="f"/>
              </v:line>
            </w:pict>
          </mc:Fallback>
        </mc:AlternateContent>
      </w:r>
    </w:p>
    <w:p w14:paraId="37578F6C" w14:textId="77777777" w:rsidR="002E1317" w:rsidRDefault="002E1317">
      <w:pPr>
        <w:spacing w:after="0" w:line="240" w:lineRule="auto"/>
        <w:rPr>
          <w:rFonts w:ascii="Times New Roman" w:hAnsi="Times New Roman"/>
          <w:b/>
          <w:sz w:val="44"/>
          <w:szCs w:val="44"/>
        </w:rPr>
      </w:pPr>
    </w:p>
    <w:p w14:paraId="3525FE06" w14:textId="77777777" w:rsidR="002E1317" w:rsidRDefault="002E1317">
      <w:pPr>
        <w:spacing w:after="0" w:line="240" w:lineRule="auto"/>
        <w:rPr>
          <w:rFonts w:ascii="Times New Roman" w:hAnsi="Times New Roman"/>
          <w:sz w:val="44"/>
          <w:szCs w:val="44"/>
        </w:rPr>
      </w:pPr>
    </w:p>
    <w:p w14:paraId="0D8EF337" w14:textId="77777777" w:rsidR="002E1317" w:rsidRDefault="00000000">
      <w:pPr>
        <w:spacing w:after="0" w:line="240" w:lineRule="auto"/>
        <w:jc w:val="center"/>
        <w:rPr>
          <w:rFonts w:ascii="Times New Roman" w:eastAsia="黑体" w:hAnsi="Times New Roman"/>
          <w:sz w:val="52"/>
          <w:szCs w:val="52"/>
        </w:rPr>
      </w:pPr>
      <w:r>
        <w:rPr>
          <w:rFonts w:ascii="Times New Roman" w:eastAsia="黑体" w:hAnsi="Times New Roman"/>
          <w:sz w:val="52"/>
          <w:szCs w:val="52"/>
        </w:rPr>
        <w:t>受污染耕地安全利用率监测评价技术规范</w:t>
      </w:r>
    </w:p>
    <w:p w14:paraId="40153FF3" w14:textId="77777777" w:rsidR="002E1317" w:rsidRDefault="002E1317">
      <w:pPr>
        <w:spacing w:after="0" w:line="240" w:lineRule="auto"/>
        <w:jc w:val="center"/>
        <w:rPr>
          <w:rFonts w:ascii="Times New Roman" w:hAnsi="Times New Roman"/>
          <w:sz w:val="24"/>
        </w:rPr>
      </w:pPr>
    </w:p>
    <w:p w14:paraId="0A43253F" w14:textId="77777777" w:rsidR="002E1317" w:rsidRDefault="00000000">
      <w:pPr>
        <w:spacing w:after="0" w:line="240" w:lineRule="auto"/>
        <w:ind w:left="560" w:hangingChars="200" w:hanging="560"/>
        <w:jc w:val="center"/>
        <w:rPr>
          <w:rFonts w:ascii="Times New Roman" w:eastAsia="黑体" w:hAnsi="Times New Roman"/>
          <w:sz w:val="28"/>
          <w:szCs w:val="28"/>
        </w:rPr>
      </w:pPr>
      <w:r>
        <w:rPr>
          <w:rFonts w:ascii="Times New Roman" w:eastAsia="黑体" w:hAnsi="Times New Roman"/>
          <w:sz w:val="28"/>
          <w:szCs w:val="28"/>
        </w:rPr>
        <w:t>Technical specification for monitoring and evaluating the safe utilization rate of polluted farmland</w:t>
      </w:r>
    </w:p>
    <w:p w14:paraId="4CF89ECE" w14:textId="77777777" w:rsidR="002E1317" w:rsidRDefault="002E1317">
      <w:pPr>
        <w:spacing w:after="0" w:line="240" w:lineRule="auto"/>
        <w:rPr>
          <w:rFonts w:ascii="Times New Roman" w:hAnsi="Times New Roman"/>
          <w:sz w:val="24"/>
        </w:rPr>
      </w:pPr>
    </w:p>
    <w:p w14:paraId="78F11229" w14:textId="77777777" w:rsidR="002E1317" w:rsidRDefault="002E1317">
      <w:pPr>
        <w:spacing w:after="0" w:line="240" w:lineRule="auto"/>
        <w:rPr>
          <w:rFonts w:ascii="Times New Roman" w:hAnsi="Times New Roman"/>
          <w:sz w:val="24"/>
        </w:rPr>
      </w:pPr>
    </w:p>
    <w:p w14:paraId="53529A1E" w14:textId="77777777" w:rsidR="002E1317" w:rsidRDefault="00000000">
      <w:pPr>
        <w:spacing w:after="0" w:line="240" w:lineRule="auto"/>
        <w:jc w:val="center"/>
        <w:rPr>
          <w:rFonts w:ascii="Times New Roman" w:eastAsia="黑体" w:hAnsi="Times New Roman"/>
          <w:b/>
          <w:bCs/>
          <w:sz w:val="32"/>
          <w:szCs w:val="32"/>
        </w:rPr>
      </w:pPr>
      <w:bookmarkStart w:id="0" w:name="_Toc20663828"/>
      <w:r>
        <w:rPr>
          <w:rFonts w:ascii="Times New Roman" w:eastAsia="黑体" w:hAnsi="Times New Roman"/>
          <w:sz w:val="32"/>
          <w:szCs w:val="32"/>
        </w:rPr>
        <w:t>（征求意见稿）</w:t>
      </w:r>
      <w:bookmarkEnd w:id="0"/>
    </w:p>
    <w:p w14:paraId="22EF480B" w14:textId="77777777" w:rsidR="002E1317" w:rsidRDefault="002E1317">
      <w:pPr>
        <w:spacing w:after="0" w:line="240" w:lineRule="auto"/>
        <w:rPr>
          <w:rFonts w:ascii="Times New Roman" w:hAnsi="Times New Roman"/>
          <w:b/>
          <w:sz w:val="24"/>
        </w:rPr>
      </w:pPr>
    </w:p>
    <w:p w14:paraId="50AB8AFD" w14:textId="77777777" w:rsidR="002E1317" w:rsidRDefault="002E1317">
      <w:pPr>
        <w:spacing w:after="0" w:line="240" w:lineRule="auto"/>
        <w:rPr>
          <w:rFonts w:ascii="Times New Roman" w:hAnsi="Times New Roman"/>
          <w:b/>
          <w:sz w:val="24"/>
        </w:rPr>
      </w:pPr>
    </w:p>
    <w:p w14:paraId="5FFFE034" w14:textId="77777777" w:rsidR="002E1317" w:rsidRDefault="002E1317">
      <w:pPr>
        <w:spacing w:after="0" w:line="240" w:lineRule="auto"/>
        <w:rPr>
          <w:rFonts w:ascii="Times New Roman" w:hAnsi="Times New Roman"/>
          <w:b/>
          <w:sz w:val="24"/>
        </w:rPr>
      </w:pPr>
    </w:p>
    <w:p w14:paraId="764911FD" w14:textId="77777777" w:rsidR="002E1317" w:rsidRDefault="002E1317">
      <w:pPr>
        <w:spacing w:after="0" w:line="240" w:lineRule="auto"/>
        <w:rPr>
          <w:rFonts w:ascii="Times New Roman" w:hAnsi="Times New Roman"/>
          <w:b/>
          <w:sz w:val="24"/>
        </w:rPr>
      </w:pPr>
    </w:p>
    <w:p w14:paraId="6C4414B6" w14:textId="77777777" w:rsidR="002E1317" w:rsidRDefault="002E1317">
      <w:pPr>
        <w:spacing w:after="0" w:line="240" w:lineRule="auto"/>
        <w:rPr>
          <w:rFonts w:ascii="Times New Roman" w:hAnsi="Times New Roman"/>
          <w:b/>
          <w:sz w:val="24"/>
        </w:rPr>
      </w:pPr>
    </w:p>
    <w:p w14:paraId="0ADB896D" w14:textId="77777777" w:rsidR="002E1317" w:rsidRDefault="002E1317">
      <w:pPr>
        <w:spacing w:after="0" w:line="240" w:lineRule="auto"/>
        <w:rPr>
          <w:rFonts w:ascii="Times New Roman" w:hAnsi="Times New Roman"/>
          <w:b/>
          <w:sz w:val="24"/>
        </w:rPr>
      </w:pPr>
    </w:p>
    <w:p w14:paraId="2333BF17" w14:textId="77777777" w:rsidR="002E1317" w:rsidRDefault="002E1317">
      <w:pPr>
        <w:spacing w:after="0" w:line="240" w:lineRule="auto"/>
        <w:rPr>
          <w:rFonts w:ascii="Times New Roman" w:hAnsi="Times New Roman"/>
          <w:b/>
          <w:sz w:val="24"/>
        </w:rPr>
      </w:pPr>
    </w:p>
    <w:p w14:paraId="13369A71" w14:textId="77777777" w:rsidR="002E1317" w:rsidRDefault="002E1317">
      <w:pPr>
        <w:spacing w:after="0" w:line="240" w:lineRule="auto"/>
        <w:rPr>
          <w:rFonts w:ascii="Times New Roman" w:hAnsi="Times New Roman"/>
          <w:b/>
          <w:sz w:val="24"/>
        </w:rPr>
      </w:pPr>
    </w:p>
    <w:p w14:paraId="30CFA6A9" w14:textId="77777777" w:rsidR="002E1317" w:rsidRDefault="002E1317">
      <w:pPr>
        <w:spacing w:after="0" w:line="240" w:lineRule="auto"/>
        <w:rPr>
          <w:rFonts w:ascii="Times New Roman" w:hAnsi="Times New Roman"/>
          <w:b/>
          <w:sz w:val="24"/>
        </w:rPr>
      </w:pPr>
    </w:p>
    <w:p w14:paraId="2939716B" w14:textId="77777777" w:rsidR="002E1317" w:rsidRDefault="002E1317">
      <w:pPr>
        <w:spacing w:after="0" w:line="240" w:lineRule="auto"/>
        <w:rPr>
          <w:rFonts w:ascii="Times New Roman" w:hAnsi="Times New Roman"/>
          <w:b/>
          <w:sz w:val="24"/>
        </w:rPr>
      </w:pPr>
    </w:p>
    <w:p w14:paraId="1BC0EF6A" w14:textId="77777777" w:rsidR="002E1317" w:rsidRDefault="00000000">
      <w:pPr>
        <w:spacing w:after="0" w:line="240" w:lineRule="auto"/>
        <w:jc w:val="center"/>
        <w:rPr>
          <w:rFonts w:ascii="Times New Roman" w:eastAsia="黑体" w:hAnsi="Times New Roman"/>
          <w:b/>
          <w:sz w:val="28"/>
          <w:szCs w:val="28"/>
        </w:rPr>
      </w:pPr>
      <w:bookmarkStart w:id="1" w:name="_Toc20663829"/>
      <w:r>
        <w:rPr>
          <w:rFonts w:ascii="Times New Roman" w:eastAsia="黑体" w:hAnsi="Times New Roman"/>
          <w:kern w:val="0"/>
          <w:sz w:val="28"/>
          <w:szCs w:val="28"/>
        </w:rPr>
        <w:t xml:space="preserve">XXXX -XX-XX </w:t>
      </w:r>
      <w:r>
        <w:rPr>
          <w:rFonts w:ascii="Times New Roman" w:eastAsia="黑体" w:hAnsi="Times New Roman"/>
          <w:kern w:val="0"/>
          <w:sz w:val="28"/>
          <w:szCs w:val="28"/>
        </w:rPr>
        <w:t>发布</w:t>
      </w:r>
      <w:r>
        <w:rPr>
          <w:rFonts w:ascii="Times New Roman" w:eastAsia="黑体" w:hAnsi="Times New Roman"/>
          <w:kern w:val="0"/>
          <w:sz w:val="28"/>
          <w:szCs w:val="28"/>
        </w:rPr>
        <w:t xml:space="preserve">                              XXXX -XX-XX </w:t>
      </w:r>
      <w:r>
        <w:rPr>
          <w:rFonts w:ascii="Times New Roman" w:eastAsia="黑体" w:hAnsi="Times New Roman"/>
          <w:kern w:val="0"/>
          <w:sz w:val="28"/>
          <w:szCs w:val="28"/>
        </w:rPr>
        <w:t>实施</w:t>
      </w:r>
      <w:bookmarkEnd w:id="1"/>
    </w:p>
    <w:p w14:paraId="53AD6B4E" w14:textId="77777777" w:rsidR="002E1317" w:rsidRDefault="00000000">
      <w:pPr>
        <w:spacing w:after="0" w:line="240" w:lineRule="auto"/>
        <w:rPr>
          <w:rFonts w:ascii="Times New Roman" w:hAnsi="Times New Roman"/>
          <w:b/>
          <w:sz w:val="24"/>
        </w:rPr>
      </w:pPr>
      <w:r>
        <w:rPr>
          <w:rFonts w:ascii="Times New Roman" w:hAnsi="Times New Roman"/>
          <w:b/>
          <w:noProof/>
          <w:sz w:val="32"/>
          <w:szCs w:val="32"/>
        </w:rPr>
        <mc:AlternateContent>
          <mc:Choice Requires="wps">
            <w:drawing>
              <wp:anchor distT="0" distB="0" distL="114300" distR="114300" simplePos="0" relativeHeight="251660288" behindDoc="0" locked="0" layoutInCell="1" allowOverlap="1" wp14:anchorId="1CE246BD" wp14:editId="2FC071AA">
                <wp:simplePos x="0" y="0"/>
                <wp:positionH relativeFrom="margin">
                  <wp:align>center</wp:align>
                </wp:positionH>
                <wp:positionV relativeFrom="paragraph">
                  <wp:posOffset>84455</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RlRY9MAAAAGAQAADwAAAAAAAAABACAAAAAiAAAAZHJzL2Rvd25yZXYueG1sUEsBAhQAFAAAAAgA&#10;h07iQNaPUxLxAQAA5gMAAA4AAAAAAAAAAQAgAAAAIgEAAGRycy9lMm9Eb2MueG1sUEsFBgAAAAAG&#10;AAYAWQEAAIUFAAAAAA==&#10;">
                <v:fill on="f" focussize="0,0"/>
                <v:stroke color="#000000" joinstyle="round"/>
                <v:imagedata o:title=""/>
                <o:lock v:ext="edit" aspectratio="f"/>
              </v:line>
            </w:pict>
          </mc:Fallback>
        </mc:AlternateContent>
      </w:r>
    </w:p>
    <w:p w14:paraId="3EFA7936" w14:textId="77777777" w:rsidR="002E1317" w:rsidRDefault="00000000">
      <w:pPr>
        <w:widowControl/>
        <w:spacing w:after="0" w:line="240" w:lineRule="auto"/>
        <w:jc w:val="center"/>
        <w:rPr>
          <w:rFonts w:ascii="Times New Roman" w:eastAsia="黑体" w:hAnsi="Times New Roman"/>
          <w:spacing w:val="20"/>
          <w:w w:val="135"/>
          <w:kern w:val="0"/>
          <w:sz w:val="28"/>
          <w:szCs w:val="20"/>
        </w:rPr>
        <w:sectPr w:rsidR="002E1317">
          <w:footerReference w:type="default" r:id="rId8"/>
          <w:footerReference w:type="first" r:id="rId9"/>
          <w:pgSz w:w="11906" w:h="16838"/>
          <w:pgMar w:top="1440" w:right="1080" w:bottom="1440" w:left="1080" w:header="1418" w:footer="964" w:gutter="0"/>
          <w:pgNumType w:fmt="numberInDash" w:start="6"/>
          <w:cols w:space="720"/>
          <w:formProt w:val="0"/>
          <w:titlePg/>
          <w:docGrid w:type="lines" w:linePitch="312"/>
        </w:sectPr>
      </w:pPr>
      <w:r>
        <w:rPr>
          <w:rFonts w:ascii="Times New Roman" w:eastAsia="黑体" w:hAnsi="Times New Roman"/>
          <w:spacing w:val="20"/>
          <w:w w:val="135"/>
          <w:kern w:val="0"/>
          <w:sz w:val="28"/>
          <w:szCs w:val="28"/>
        </w:rPr>
        <w:t>中华人民共和国农业农村部</w:t>
      </w:r>
      <w:r>
        <w:rPr>
          <w:rFonts w:ascii="Times New Roman" w:eastAsia="黑体" w:hAnsi="Times New Roman"/>
          <w:spacing w:val="20"/>
          <w:w w:val="135"/>
          <w:kern w:val="0"/>
          <w:sz w:val="28"/>
          <w:szCs w:val="28"/>
        </w:rPr>
        <w:t xml:space="preserve"> </w:t>
      </w:r>
      <w:r>
        <w:rPr>
          <w:rFonts w:ascii="Times New Roman" w:eastAsia="黑体" w:hAnsi="Times New Roman"/>
          <w:spacing w:val="20"/>
          <w:w w:val="135"/>
          <w:kern w:val="0"/>
          <w:sz w:val="28"/>
          <w:szCs w:val="20"/>
        </w:rPr>
        <w:t>发布</w:t>
      </w:r>
    </w:p>
    <w:p w14:paraId="2A08D958" w14:textId="77777777" w:rsidR="002E1317" w:rsidRDefault="002E1317">
      <w:pPr>
        <w:spacing w:after="0" w:line="240" w:lineRule="auto"/>
        <w:rPr>
          <w:rFonts w:ascii="Times New Roman" w:eastAsia="黑体" w:hAnsi="Times New Roman"/>
          <w:sz w:val="28"/>
          <w:szCs w:val="20"/>
        </w:rPr>
        <w:sectPr w:rsidR="002E1317">
          <w:footerReference w:type="default" r:id="rId10"/>
          <w:type w:val="continuous"/>
          <w:pgSz w:w="11906" w:h="16838"/>
          <w:pgMar w:top="1440" w:right="1080" w:bottom="1440" w:left="1080" w:header="1418" w:footer="964" w:gutter="0"/>
          <w:pgNumType w:fmt="numberInDash"/>
          <w:cols w:space="720"/>
          <w:formProt w:val="0"/>
          <w:docGrid w:type="lines" w:linePitch="312"/>
        </w:sectPr>
      </w:pPr>
    </w:p>
    <w:p w14:paraId="3086DECF" w14:textId="77777777" w:rsidR="002E1317" w:rsidRDefault="00000000">
      <w:pPr>
        <w:pStyle w:val="ab"/>
        <w:spacing w:after="0" w:line="240" w:lineRule="auto"/>
        <w:outlineLvl w:val="9"/>
        <w:rPr>
          <w:rFonts w:ascii="Times New Roman"/>
          <w:sz w:val="21"/>
          <w:szCs w:val="21"/>
        </w:rPr>
      </w:pPr>
      <w:r>
        <w:rPr>
          <w:rFonts w:ascii="Times New Roman"/>
          <w:sz w:val="21"/>
          <w:szCs w:val="21"/>
        </w:rPr>
        <w:lastRenderedPageBreak/>
        <w:t>前</w:t>
      </w:r>
      <w:bookmarkStart w:id="2" w:name="BKQY"/>
      <w:r>
        <w:rPr>
          <w:rFonts w:ascii="Times New Roman" w:hint="eastAsia"/>
          <w:sz w:val="21"/>
          <w:szCs w:val="21"/>
        </w:rPr>
        <w:t xml:space="preserve">  </w:t>
      </w:r>
      <w:r>
        <w:rPr>
          <w:rFonts w:ascii="Times New Roman"/>
          <w:sz w:val="21"/>
          <w:szCs w:val="21"/>
        </w:rPr>
        <w:t>言</w:t>
      </w:r>
      <w:bookmarkEnd w:id="2"/>
    </w:p>
    <w:p w14:paraId="411E7CDF" w14:textId="77777777" w:rsidR="002E1317" w:rsidRDefault="00000000">
      <w:pPr>
        <w:pStyle w:val="ac"/>
        <w:spacing w:beforeLines="100" w:before="312" w:after="0" w:line="240" w:lineRule="auto"/>
        <w:rPr>
          <w:rFonts w:ascii="Times New Roman"/>
          <w:color w:val="000000"/>
        </w:rPr>
      </w:pPr>
      <w:r>
        <w:rPr>
          <w:rFonts w:ascii="Times New Roman"/>
        </w:rPr>
        <w:t>本文件</w:t>
      </w:r>
      <w:r>
        <w:rPr>
          <w:rFonts w:ascii="Times New Roman"/>
          <w:color w:val="000000"/>
        </w:rPr>
        <w:t>按照</w:t>
      </w:r>
      <w:r>
        <w:rPr>
          <w:rFonts w:ascii="Times New Roman"/>
          <w:color w:val="000000"/>
        </w:rPr>
        <w:t>GB/T 1.1—2020</w:t>
      </w:r>
      <w:r>
        <w:rPr>
          <w:rFonts w:ascii="Times New Roman"/>
          <w:color w:val="000000"/>
        </w:rPr>
        <w:t>《标准化工作导则</w:t>
      </w:r>
      <w:r>
        <w:rPr>
          <w:rFonts w:ascii="Times New Roman"/>
          <w:color w:val="000000"/>
        </w:rPr>
        <w:t xml:space="preserve"> </w:t>
      </w:r>
      <w:r>
        <w:rPr>
          <w:rFonts w:ascii="Times New Roman"/>
          <w:color w:val="000000"/>
        </w:rPr>
        <w:t>第</w:t>
      </w:r>
      <w:r>
        <w:rPr>
          <w:rFonts w:ascii="Times New Roman"/>
          <w:color w:val="000000"/>
        </w:rPr>
        <w:t>1</w:t>
      </w:r>
      <w:r>
        <w:rPr>
          <w:rFonts w:ascii="Times New Roman"/>
          <w:color w:val="000000"/>
        </w:rPr>
        <w:t>部分：标准化文件的结构和起草规则》的规定起草。</w:t>
      </w:r>
    </w:p>
    <w:p w14:paraId="49A95067" w14:textId="77777777" w:rsidR="002E1317" w:rsidRDefault="00000000">
      <w:pPr>
        <w:pStyle w:val="ac"/>
        <w:spacing w:after="0" w:line="240" w:lineRule="auto"/>
        <w:rPr>
          <w:rFonts w:ascii="Times New Roman"/>
          <w:color w:val="000000"/>
        </w:rPr>
      </w:pPr>
      <w:r>
        <w:rPr>
          <w:rFonts w:ascii="Times New Roman"/>
          <w:color w:val="000000"/>
        </w:rPr>
        <w:t>请注意本文件的某些内容可能涉及专利。本文件的发布机构不承担识别专利的责任。</w:t>
      </w:r>
    </w:p>
    <w:p w14:paraId="7F7E4DA4" w14:textId="77777777" w:rsidR="002E1317" w:rsidRDefault="00000000">
      <w:pPr>
        <w:pStyle w:val="ac"/>
        <w:spacing w:after="0" w:line="240" w:lineRule="auto"/>
        <w:rPr>
          <w:rFonts w:ascii="Times New Roman"/>
          <w:color w:val="000000"/>
        </w:rPr>
      </w:pPr>
      <w:r>
        <w:rPr>
          <w:rFonts w:ascii="Times New Roman"/>
          <w:color w:val="000000"/>
        </w:rPr>
        <w:t>本文件由农业农村部科学技术司提出。</w:t>
      </w:r>
    </w:p>
    <w:p w14:paraId="2B757EB2" w14:textId="77777777" w:rsidR="002E1317" w:rsidRDefault="00000000">
      <w:pPr>
        <w:pStyle w:val="ac"/>
        <w:spacing w:after="0" w:line="240" w:lineRule="auto"/>
        <w:rPr>
          <w:rFonts w:ascii="Times New Roman"/>
          <w:color w:val="000000"/>
        </w:rPr>
      </w:pPr>
      <w:r>
        <w:rPr>
          <w:rFonts w:ascii="Times New Roman"/>
          <w:color w:val="000000"/>
        </w:rPr>
        <w:t>本文件由农业农村部农业资源环境标准化技术委员会归口。</w:t>
      </w:r>
    </w:p>
    <w:p w14:paraId="558A3EB7" w14:textId="77777777" w:rsidR="002E1317" w:rsidRDefault="00000000">
      <w:pPr>
        <w:pStyle w:val="ac"/>
        <w:spacing w:after="0" w:line="240" w:lineRule="auto"/>
        <w:rPr>
          <w:rFonts w:ascii="Times New Roman"/>
          <w:color w:val="000000"/>
          <w:highlight w:val="yellow"/>
        </w:rPr>
      </w:pPr>
      <w:r>
        <w:rPr>
          <w:rFonts w:ascii="Times New Roman"/>
          <w:color w:val="000000"/>
        </w:rPr>
        <w:t>本文件起草单位：</w:t>
      </w:r>
      <w:r>
        <w:rPr>
          <w:rFonts w:ascii="Times New Roman"/>
        </w:rPr>
        <w:t>农业农村部农业生态与资源保护总站、中国农业科学院农业资源与农业区划研究所、中国水稻研究所、中国农业科学院农业环境与可持续发展研究所、农业农村部环境保护科研监测所、广东省科学院生态环境与土壤研究所。</w:t>
      </w:r>
    </w:p>
    <w:p w14:paraId="3394DA55" w14:textId="77777777" w:rsidR="002E1317" w:rsidRDefault="00000000">
      <w:pPr>
        <w:pStyle w:val="ac"/>
        <w:spacing w:after="0" w:line="240" w:lineRule="auto"/>
        <w:rPr>
          <w:rFonts w:ascii="Times New Roman"/>
          <w:color w:val="000000"/>
        </w:rPr>
      </w:pPr>
      <w:r>
        <w:rPr>
          <w:rFonts w:ascii="Times New Roman"/>
          <w:color w:val="000000"/>
        </w:rPr>
        <w:t>本文件主要起草人：</w:t>
      </w:r>
      <w:r>
        <w:rPr>
          <w:rFonts w:ascii="Times New Roman" w:hint="eastAsia"/>
          <w:color w:val="000000"/>
        </w:rPr>
        <w:t>郑顺安、闫成、李晓华、祝凌、吴泽嬴、孙晓艺、曹珍珍、张婷、梁学峰、宋彪、杜美琪、李晓阳、刘传平、方利平、张爽爽、马建忠、郑超。</w:t>
      </w:r>
    </w:p>
    <w:p w14:paraId="7088BF46" w14:textId="77777777" w:rsidR="002E1317" w:rsidRDefault="00000000">
      <w:pPr>
        <w:pStyle w:val="ad"/>
        <w:spacing w:after="0" w:line="240" w:lineRule="auto"/>
        <w:outlineLvl w:val="9"/>
        <w:rPr>
          <w:rFonts w:ascii="Times New Roman" w:hAnsi="Times New Roman"/>
        </w:rPr>
      </w:pPr>
      <w:r>
        <w:rPr>
          <w:rFonts w:ascii="Times New Roman" w:hAnsi="Times New Roman"/>
        </w:rPr>
        <w:lastRenderedPageBreak/>
        <w:t>受污染耕地安全利用率监测评价技术规范</w:t>
      </w:r>
    </w:p>
    <w:p w14:paraId="491EDCCF" w14:textId="77777777" w:rsidR="002E1317" w:rsidRDefault="00000000">
      <w:pPr>
        <w:pStyle w:val="a"/>
        <w:numPr>
          <w:ilvl w:val="0"/>
          <w:numId w:val="0"/>
        </w:numPr>
        <w:spacing w:line="240" w:lineRule="auto"/>
        <w:outlineLvl w:val="9"/>
        <w:rPr>
          <w:rFonts w:hAnsi="黑体" w:hint="eastAsia"/>
        </w:rPr>
      </w:pPr>
      <w:r>
        <w:rPr>
          <w:rFonts w:hAnsi="黑体"/>
        </w:rPr>
        <w:t>1  范围</w:t>
      </w:r>
    </w:p>
    <w:p w14:paraId="4009DF1F" w14:textId="77777777" w:rsidR="002E1317" w:rsidRDefault="00000000">
      <w:pPr>
        <w:pStyle w:val="ac"/>
        <w:spacing w:after="0" w:line="240" w:lineRule="auto"/>
        <w:rPr>
          <w:rFonts w:ascii="Times New Roman"/>
        </w:rPr>
      </w:pPr>
      <w:r>
        <w:rPr>
          <w:rFonts w:ascii="Times New Roman"/>
        </w:rPr>
        <w:t>本文件规定了受污染耕地安全利用率监测评价的范围、</w:t>
      </w:r>
      <w:r>
        <w:rPr>
          <w:rFonts w:ascii="Times New Roman" w:hint="eastAsia"/>
        </w:rPr>
        <w:t>基础资料和</w:t>
      </w:r>
      <w:r>
        <w:rPr>
          <w:rFonts w:ascii="Times New Roman"/>
        </w:rPr>
        <w:t>数据收集、监测评价流程、报告编制的要求。</w:t>
      </w:r>
    </w:p>
    <w:p w14:paraId="55C16DA5" w14:textId="77777777" w:rsidR="002E1317" w:rsidRDefault="00000000">
      <w:pPr>
        <w:pStyle w:val="ac"/>
        <w:spacing w:after="0" w:line="240" w:lineRule="auto"/>
        <w:rPr>
          <w:rFonts w:ascii="Times New Roman"/>
        </w:rPr>
      </w:pPr>
      <w:r>
        <w:rPr>
          <w:rFonts w:ascii="Times New Roman"/>
        </w:rPr>
        <w:t>本文件适用于对受污染耕地安全利用率开展监测评价。</w:t>
      </w:r>
    </w:p>
    <w:p w14:paraId="7898346C" w14:textId="77777777" w:rsidR="002E1317" w:rsidRDefault="00000000">
      <w:pPr>
        <w:pStyle w:val="a"/>
        <w:numPr>
          <w:ilvl w:val="0"/>
          <w:numId w:val="0"/>
        </w:numPr>
        <w:spacing w:line="240" w:lineRule="auto"/>
        <w:outlineLvl w:val="9"/>
        <w:rPr>
          <w:rFonts w:hAnsi="黑体" w:hint="eastAsia"/>
        </w:rPr>
      </w:pPr>
      <w:r>
        <w:rPr>
          <w:rFonts w:hAnsi="黑体"/>
        </w:rPr>
        <w:t>2  规范性引用文件</w:t>
      </w:r>
    </w:p>
    <w:p w14:paraId="021FF924" w14:textId="77777777" w:rsidR="002E1317" w:rsidRDefault="00000000">
      <w:pPr>
        <w:pStyle w:val="ac"/>
        <w:adjustRightInd w:val="0"/>
        <w:snapToGrid w:val="0"/>
        <w:spacing w:after="0" w:line="240" w:lineRule="auto"/>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A58EC1" w14:textId="77777777" w:rsidR="002E1317" w:rsidRDefault="00000000">
      <w:pPr>
        <w:pStyle w:val="ac"/>
        <w:adjustRightInd w:val="0"/>
        <w:snapToGrid w:val="0"/>
        <w:spacing w:after="0" w:line="240" w:lineRule="auto"/>
        <w:rPr>
          <w:rFonts w:ascii="Times New Roman"/>
        </w:rPr>
      </w:pPr>
      <w:r>
        <w:rPr>
          <w:rFonts w:ascii="Times New Roman"/>
        </w:rPr>
        <w:t xml:space="preserve">GB 2762  </w:t>
      </w:r>
      <w:r>
        <w:rPr>
          <w:rFonts w:ascii="Times New Roman" w:hint="eastAsia"/>
        </w:rPr>
        <w:t xml:space="preserve">  </w:t>
      </w:r>
      <w:r>
        <w:rPr>
          <w:rFonts w:ascii="Times New Roman"/>
        </w:rPr>
        <w:t>食品安全国家标准</w:t>
      </w:r>
      <w:r>
        <w:rPr>
          <w:rFonts w:ascii="Times New Roman"/>
        </w:rPr>
        <w:t xml:space="preserve"> </w:t>
      </w:r>
      <w:r>
        <w:rPr>
          <w:rFonts w:ascii="Times New Roman"/>
        </w:rPr>
        <w:t>食品中污染物限量</w:t>
      </w:r>
    </w:p>
    <w:p w14:paraId="2D625031" w14:textId="77777777" w:rsidR="002E1317" w:rsidRDefault="00000000">
      <w:pPr>
        <w:pStyle w:val="ac"/>
        <w:adjustRightInd w:val="0"/>
        <w:snapToGrid w:val="0"/>
        <w:spacing w:after="0" w:line="240" w:lineRule="auto"/>
        <w:rPr>
          <w:rFonts w:ascii="Times New Roman"/>
        </w:rPr>
      </w:pPr>
      <w:r>
        <w:rPr>
          <w:rFonts w:ascii="Times New Roman" w:hint="eastAsia"/>
        </w:rPr>
        <w:t xml:space="preserve">GB 13078   </w:t>
      </w:r>
      <w:r>
        <w:rPr>
          <w:rFonts w:ascii="Times New Roman" w:hint="eastAsia"/>
        </w:rPr>
        <w:t>饲料卫生标准</w:t>
      </w:r>
    </w:p>
    <w:p w14:paraId="2FAB3C9F" w14:textId="77777777" w:rsidR="002E1317" w:rsidRDefault="00000000">
      <w:pPr>
        <w:pStyle w:val="ac"/>
        <w:adjustRightInd w:val="0"/>
        <w:snapToGrid w:val="0"/>
        <w:spacing w:after="0" w:line="240" w:lineRule="auto"/>
        <w:rPr>
          <w:rFonts w:ascii="Times New Roman"/>
        </w:rPr>
      </w:pPr>
      <w:r>
        <w:rPr>
          <w:rFonts w:ascii="Times New Roman"/>
        </w:rPr>
        <w:t xml:space="preserve">NT/T 398  </w:t>
      </w:r>
      <w:r>
        <w:rPr>
          <w:rFonts w:ascii="Times New Roman" w:hint="eastAsia"/>
        </w:rPr>
        <w:t xml:space="preserve"> </w:t>
      </w:r>
      <w:r>
        <w:rPr>
          <w:rFonts w:ascii="Times New Roman"/>
        </w:rPr>
        <w:t>农、畜、水产品污染监测技术规范</w:t>
      </w:r>
    </w:p>
    <w:p w14:paraId="03AF73F8" w14:textId="77777777" w:rsidR="002E1317" w:rsidRDefault="00000000">
      <w:pPr>
        <w:pStyle w:val="ac"/>
        <w:adjustRightInd w:val="0"/>
        <w:snapToGrid w:val="0"/>
        <w:spacing w:after="0" w:line="240" w:lineRule="auto"/>
        <w:rPr>
          <w:rFonts w:ascii="Times New Roman"/>
        </w:rPr>
      </w:pPr>
      <w:r>
        <w:rPr>
          <w:rFonts w:ascii="Times New Roman"/>
        </w:rPr>
        <w:t xml:space="preserve">NY/T 4608  </w:t>
      </w:r>
      <w:r>
        <w:rPr>
          <w:rFonts w:ascii="Times New Roman"/>
        </w:rPr>
        <w:t>耕地土壤环境质量类别划分技术指南</w:t>
      </w:r>
    </w:p>
    <w:p w14:paraId="7D00A637" w14:textId="77777777" w:rsidR="002E1317" w:rsidRDefault="00000000">
      <w:pPr>
        <w:pStyle w:val="ac"/>
        <w:adjustRightInd w:val="0"/>
        <w:snapToGrid w:val="0"/>
        <w:spacing w:after="0" w:line="240" w:lineRule="auto"/>
        <w:rPr>
          <w:rFonts w:ascii="Times New Roman"/>
        </w:rPr>
      </w:pPr>
      <w:r>
        <w:rPr>
          <w:rFonts w:ascii="Times New Roman"/>
        </w:rPr>
        <w:t xml:space="preserve">NY/T 4692  </w:t>
      </w:r>
      <w:r>
        <w:rPr>
          <w:rFonts w:ascii="Times New Roman"/>
        </w:rPr>
        <w:t>食用农产品产地重金属风险评估技术指南</w:t>
      </w:r>
    </w:p>
    <w:p w14:paraId="1CF583DE" w14:textId="77777777" w:rsidR="002E1317" w:rsidRDefault="00000000">
      <w:pPr>
        <w:pStyle w:val="a"/>
        <w:numPr>
          <w:ilvl w:val="0"/>
          <w:numId w:val="0"/>
        </w:numPr>
        <w:spacing w:line="240" w:lineRule="auto"/>
        <w:outlineLvl w:val="9"/>
        <w:rPr>
          <w:rFonts w:hAnsi="黑体" w:hint="eastAsia"/>
        </w:rPr>
      </w:pPr>
      <w:r>
        <w:rPr>
          <w:rFonts w:hAnsi="黑体"/>
        </w:rPr>
        <w:t>3  术语和定义</w:t>
      </w:r>
    </w:p>
    <w:p w14:paraId="11D0A71B" w14:textId="77777777" w:rsidR="002E1317" w:rsidRDefault="00000000">
      <w:pPr>
        <w:pStyle w:val="ac"/>
        <w:spacing w:after="0" w:line="240" w:lineRule="auto"/>
        <w:rPr>
          <w:rFonts w:ascii="Times New Roman"/>
          <w:szCs w:val="21"/>
        </w:rPr>
      </w:pPr>
      <w:r>
        <w:rPr>
          <w:rFonts w:ascii="Times New Roman"/>
          <w:szCs w:val="21"/>
        </w:rPr>
        <w:t>下列术语和定义适用于本文件。</w:t>
      </w:r>
    </w:p>
    <w:p w14:paraId="0CA766EB" w14:textId="77777777" w:rsidR="002E1317" w:rsidRDefault="00000000">
      <w:pPr>
        <w:pStyle w:val="ac"/>
        <w:spacing w:after="0" w:line="240" w:lineRule="auto"/>
        <w:ind w:firstLineChars="0" w:firstLine="0"/>
        <w:rPr>
          <w:rFonts w:ascii="黑体" w:eastAsia="黑体" w:hAnsi="黑体" w:hint="eastAsia"/>
          <w:szCs w:val="21"/>
        </w:rPr>
      </w:pPr>
      <w:r>
        <w:rPr>
          <w:rFonts w:ascii="黑体" w:eastAsia="黑体" w:hAnsi="黑体"/>
          <w:szCs w:val="21"/>
        </w:rPr>
        <w:t>3.1</w:t>
      </w:r>
    </w:p>
    <w:p w14:paraId="0D23EA04" w14:textId="77777777" w:rsidR="002E1317" w:rsidRDefault="00000000">
      <w:pPr>
        <w:pStyle w:val="ac"/>
        <w:spacing w:after="0" w:line="240" w:lineRule="auto"/>
        <w:ind w:firstLineChars="0" w:firstLine="0"/>
        <w:rPr>
          <w:rFonts w:ascii="Times New Roman" w:eastAsia="黑体"/>
          <w:szCs w:val="21"/>
        </w:rPr>
      </w:pPr>
      <w:r>
        <w:rPr>
          <w:rFonts w:ascii="Times New Roman" w:eastAsia="黑体"/>
          <w:szCs w:val="21"/>
        </w:rPr>
        <w:t xml:space="preserve">    </w:t>
      </w:r>
      <w:r>
        <w:rPr>
          <w:rFonts w:ascii="Times New Roman" w:eastAsia="黑体"/>
          <w:szCs w:val="21"/>
        </w:rPr>
        <w:t>安全利用率</w:t>
      </w:r>
      <w:r>
        <w:rPr>
          <w:rFonts w:ascii="Times New Roman" w:eastAsia="黑体"/>
          <w:szCs w:val="21"/>
        </w:rPr>
        <w:t xml:space="preserve">  </w:t>
      </w:r>
      <w:r>
        <w:rPr>
          <w:rFonts w:ascii="Times New Roman" w:eastAsia="黑体" w:hint="eastAsia"/>
          <w:szCs w:val="21"/>
        </w:rPr>
        <w:t>Safety utilization rate</w:t>
      </w:r>
      <w:r>
        <w:rPr>
          <w:rFonts w:ascii="Times New Roman" w:eastAsia="黑体"/>
          <w:szCs w:val="21"/>
        </w:rPr>
        <w:t xml:space="preserve"> </w:t>
      </w:r>
    </w:p>
    <w:p w14:paraId="35D5481D" w14:textId="77777777" w:rsidR="002E1317" w:rsidRDefault="00000000">
      <w:pPr>
        <w:pStyle w:val="ac"/>
        <w:spacing w:after="0" w:line="240" w:lineRule="auto"/>
        <w:rPr>
          <w:rFonts w:ascii="Times New Roman"/>
          <w:szCs w:val="21"/>
        </w:rPr>
      </w:pPr>
      <w:r>
        <w:rPr>
          <w:rFonts w:ascii="Times New Roman"/>
          <w:szCs w:val="21"/>
        </w:rPr>
        <w:t>已实现安全利用的受污染耕地面积占区域内受污染耕地总面积的百分数，是反映实现安全利用目标完成情况的指标。</w:t>
      </w:r>
      <w:r>
        <w:rPr>
          <w:rFonts w:ascii="Times New Roman" w:hint="eastAsia"/>
          <w:szCs w:val="21"/>
        </w:rPr>
        <w:t>受污染耕地总面积等于安全利用类耕地和严格管控类耕地面积之和。</w:t>
      </w:r>
    </w:p>
    <w:p w14:paraId="523C3DE7" w14:textId="77777777" w:rsidR="002E1317" w:rsidRDefault="00000000">
      <w:pPr>
        <w:pStyle w:val="ac"/>
        <w:spacing w:after="0" w:line="240" w:lineRule="auto"/>
        <w:ind w:firstLineChars="0" w:firstLine="0"/>
        <w:rPr>
          <w:rFonts w:ascii="黑体" w:eastAsia="黑体" w:hAnsi="黑体" w:hint="eastAsia"/>
          <w:szCs w:val="21"/>
        </w:rPr>
      </w:pPr>
      <w:r>
        <w:rPr>
          <w:rFonts w:ascii="黑体" w:eastAsia="黑体" w:hAnsi="黑体"/>
          <w:szCs w:val="21"/>
        </w:rPr>
        <w:t>3.</w:t>
      </w:r>
      <w:r>
        <w:rPr>
          <w:rFonts w:ascii="黑体" w:eastAsia="黑体" w:hAnsi="黑体" w:hint="eastAsia"/>
          <w:szCs w:val="21"/>
        </w:rPr>
        <w:t>2</w:t>
      </w:r>
      <w:r>
        <w:rPr>
          <w:rFonts w:ascii="黑体" w:eastAsia="黑体" w:hAnsi="黑体"/>
          <w:szCs w:val="21"/>
        </w:rPr>
        <w:t xml:space="preserve"> </w:t>
      </w:r>
    </w:p>
    <w:p w14:paraId="6C1F97B0" w14:textId="77777777" w:rsidR="002E1317" w:rsidRDefault="00000000">
      <w:pPr>
        <w:pStyle w:val="ac"/>
        <w:spacing w:after="0" w:line="240" w:lineRule="auto"/>
        <w:ind w:firstLineChars="0" w:firstLine="0"/>
        <w:rPr>
          <w:rFonts w:ascii="Times New Roman" w:eastAsia="黑体"/>
          <w:szCs w:val="21"/>
        </w:rPr>
      </w:pPr>
      <w:r>
        <w:rPr>
          <w:rFonts w:ascii="Times New Roman" w:eastAsia="黑体"/>
          <w:szCs w:val="21"/>
        </w:rPr>
        <w:t xml:space="preserve">    </w:t>
      </w:r>
      <w:r>
        <w:rPr>
          <w:rFonts w:ascii="Times New Roman" w:eastAsia="黑体"/>
          <w:szCs w:val="21"/>
        </w:rPr>
        <w:t>安全利用类耕地</w:t>
      </w:r>
      <w:r>
        <w:rPr>
          <w:rFonts w:ascii="Times New Roman" w:eastAsia="黑体"/>
          <w:szCs w:val="21"/>
        </w:rPr>
        <w:t xml:space="preserve">  </w:t>
      </w:r>
      <w:r>
        <w:rPr>
          <w:rFonts w:ascii="Times New Roman" w:eastAsia="黑体" w:hint="eastAsia"/>
          <w:szCs w:val="21"/>
        </w:rPr>
        <w:t>Safely utilized farmland</w:t>
      </w:r>
      <w:r>
        <w:rPr>
          <w:rFonts w:ascii="Times New Roman" w:eastAsia="黑体"/>
          <w:szCs w:val="21"/>
        </w:rPr>
        <w:t xml:space="preserve"> </w:t>
      </w:r>
    </w:p>
    <w:p w14:paraId="130B33CD" w14:textId="77777777" w:rsidR="002E1317" w:rsidRDefault="00000000">
      <w:pPr>
        <w:pStyle w:val="ac"/>
        <w:spacing w:after="0" w:line="240" w:lineRule="auto"/>
        <w:rPr>
          <w:rFonts w:ascii="Times New Roman"/>
          <w:szCs w:val="21"/>
        </w:rPr>
      </w:pPr>
      <w:r>
        <w:rPr>
          <w:rFonts w:ascii="Times New Roman" w:hint="eastAsia"/>
          <w:szCs w:val="21"/>
        </w:rPr>
        <w:t>土壤中</w:t>
      </w:r>
      <w:r>
        <w:rPr>
          <w:rFonts w:ascii="Times New Roman"/>
          <w:szCs w:val="21"/>
        </w:rPr>
        <w:t>镉、汞、砷、铅、铬等污染物含量</w:t>
      </w:r>
      <w:r>
        <w:rPr>
          <w:rFonts w:ascii="Times New Roman" w:hint="eastAsia"/>
          <w:szCs w:val="21"/>
        </w:rPr>
        <w:t>高于</w:t>
      </w:r>
      <w:r>
        <w:rPr>
          <w:rFonts w:ascii="Times New Roman"/>
          <w:szCs w:val="21"/>
        </w:rPr>
        <w:t>GB 15618</w:t>
      </w:r>
      <w:r>
        <w:rPr>
          <w:rFonts w:ascii="Times New Roman"/>
          <w:szCs w:val="21"/>
        </w:rPr>
        <w:t>规定的风险筛选值</w:t>
      </w:r>
      <w:r>
        <w:rPr>
          <w:rFonts w:ascii="Times New Roman" w:hint="eastAsia"/>
          <w:szCs w:val="21"/>
        </w:rPr>
        <w:t>、等于或低于</w:t>
      </w:r>
      <w:r>
        <w:rPr>
          <w:rFonts w:ascii="Times New Roman" w:hint="eastAsia"/>
          <w:szCs w:val="21"/>
        </w:rPr>
        <w:t>GB 15618</w:t>
      </w:r>
      <w:r>
        <w:rPr>
          <w:rFonts w:ascii="Times New Roman" w:hint="eastAsia"/>
          <w:szCs w:val="21"/>
        </w:rPr>
        <w:t>规定的风险</w:t>
      </w:r>
      <w:r>
        <w:rPr>
          <w:rFonts w:ascii="Times New Roman"/>
          <w:szCs w:val="21"/>
        </w:rPr>
        <w:t>管制值，</w:t>
      </w:r>
      <w:r>
        <w:rPr>
          <w:rFonts w:ascii="Times New Roman" w:hint="eastAsia"/>
          <w:szCs w:val="21"/>
        </w:rPr>
        <w:t>可能存在食用农产品不符合质量安全标准等土壤污染风险的耕地，原则上应当采取农艺调控、替代种植等安全利用措施。</w:t>
      </w:r>
    </w:p>
    <w:p w14:paraId="2FCEF280" w14:textId="77777777" w:rsidR="002E1317" w:rsidRDefault="00000000">
      <w:pPr>
        <w:pStyle w:val="ac"/>
        <w:spacing w:after="0" w:line="240" w:lineRule="auto"/>
        <w:ind w:firstLineChars="0" w:firstLine="0"/>
        <w:rPr>
          <w:rFonts w:ascii="黑体" w:eastAsia="黑体" w:hAnsi="黑体" w:hint="eastAsia"/>
          <w:szCs w:val="21"/>
        </w:rPr>
      </w:pPr>
      <w:r>
        <w:rPr>
          <w:rFonts w:ascii="黑体" w:eastAsia="黑体" w:hAnsi="黑体"/>
          <w:szCs w:val="21"/>
        </w:rPr>
        <w:t>3.</w:t>
      </w:r>
      <w:r>
        <w:rPr>
          <w:rFonts w:ascii="黑体" w:eastAsia="黑体" w:hAnsi="黑体" w:hint="eastAsia"/>
          <w:szCs w:val="21"/>
        </w:rPr>
        <w:t>3</w:t>
      </w:r>
      <w:r>
        <w:rPr>
          <w:rFonts w:ascii="黑体" w:eastAsia="黑体" w:hAnsi="黑体"/>
          <w:szCs w:val="21"/>
        </w:rPr>
        <w:t xml:space="preserve"> </w:t>
      </w:r>
    </w:p>
    <w:p w14:paraId="3139E6BA" w14:textId="77777777" w:rsidR="002E1317" w:rsidRDefault="00000000">
      <w:pPr>
        <w:pStyle w:val="ac"/>
        <w:spacing w:after="0" w:line="240" w:lineRule="auto"/>
        <w:ind w:firstLineChars="0" w:firstLine="0"/>
        <w:rPr>
          <w:rFonts w:ascii="Times New Roman" w:eastAsia="黑体"/>
          <w:szCs w:val="21"/>
        </w:rPr>
      </w:pPr>
      <w:r>
        <w:rPr>
          <w:rFonts w:ascii="Times New Roman" w:eastAsia="黑体"/>
          <w:szCs w:val="21"/>
        </w:rPr>
        <w:t xml:space="preserve">    </w:t>
      </w:r>
      <w:r>
        <w:rPr>
          <w:rFonts w:ascii="Times New Roman" w:eastAsia="黑体"/>
          <w:szCs w:val="21"/>
        </w:rPr>
        <w:t>严格管控类耕地</w:t>
      </w:r>
      <w:r>
        <w:rPr>
          <w:rFonts w:ascii="Times New Roman" w:eastAsia="黑体"/>
          <w:szCs w:val="21"/>
        </w:rPr>
        <w:t xml:space="preserve">  </w:t>
      </w:r>
      <w:r>
        <w:rPr>
          <w:rFonts w:ascii="Times New Roman" w:eastAsia="黑体" w:hint="eastAsia"/>
          <w:szCs w:val="21"/>
        </w:rPr>
        <w:t>Strictly controlled farmland</w:t>
      </w:r>
    </w:p>
    <w:p w14:paraId="15553953" w14:textId="77777777" w:rsidR="002E1317" w:rsidRDefault="00000000">
      <w:pPr>
        <w:pStyle w:val="ac"/>
        <w:spacing w:after="0" w:line="240" w:lineRule="auto"/>
        <w:rPr>
          <w:rFonts w:ascii="Times New Roman"/>
          <w:szCs w:val="21"/>
        </w:rPr>
      </w:pPr>
      <w:r>
        <w:rPr>
          <w:rFonts w:ascii="Times New Roman" w:hint="eastAsia"/>
          <w:szCs w:val="21"/>
        </w:rPr>
        <w:t>土壤中</w:t>
      </w:r>
      <w:r>
        <w:rPr>
          <w:rFonts w:ascii="Times New Roman"/>
          <w:szCs w:val="21"/>
        </w:rPr>
        <w:t>镉、汞、砷、铅、铬等污染物含量</w:t>
      </w:r>
      <w:r>
        <w:rPr>
          <w:rFonts w:ascii="Times New Roman" w:hint="eastAsia"/>
          <w:szCs w:val="21"/>
        </w:rPr>
        <w:t>高于</w:t>
      </w:r>
      <w:r>
        <w:rPr>
          <w:rFonts w:ascii="Times New Roman"/>
          <w:szCs w:val="21"/>
        </w:rPr>
        <w:t>GB 15618</w:t>
      </w:r>
      <w:r>
        <w:rPr>
          <w:rFonts w:ascii="Times New Roman"/>
          <w:szCs w:val="21"/>
        </w:rPr>
        <w:t>规定的风险管制值，</w:t>
      </w:r>
      <w:r>
        <w:rPr>
          <w:rFonts w:ascii="Times New Roman" w:hint="eastAsia"/>
          <w:szCs w:val="21"/>
        </w:rPr>
        <w:t>食用农产品不符合质量安全标准等土壤污染风险较高的耕地，原则上应当采取禁止种植特定农产品、种植结构调整、退耕还林还草、轮作休耕等严格管控措施。</w:t>
      </w:r>
    </w:p>
    <w:p w14:paraId="0184F122" w14:textId="77777777" w:rsidR="002E1317" w:rsidRDefault="00000000">
      <w:pPr>
        <w:pStyle w:val="a"/>
        <w:numPr>
          <w:ilvl w:val="0"/>
          <w:numId w:val="0"/>
        </w:numPr>
        <w:spacing w:line="240" w:lineRule="auto"/>
        <w:outlineLvl w:val="9"/>
        <w:rPr>
          <w:rFonts w:hAnsi="黑体" w:hint="eastAsia"/>
        </w:rPr>
      </w:pPr>
      <w:r>
        <w:rPr>
          <w:rFonts w:hAnsi="黑体" w:hint="eastAsia"/>
        </w:rPr>
        <w:t>4</w:t>
      </w:r>
      <w:r>
        <w:rPr>
          <w:rFonts w:hAnsi="黑体"/>
        </w:rPr>
        <w:t xml:space="preserve">  </w:t>
      </w:r>
      <w:r>
        <w:rPr>
          <w:rFonts w:hAnsi="黑体" w:hint="eastAsia"/>
        </w:rPr>
        <w:t>受污染耕地安全利用率监测评价指标体系和取值原则</w:t>
      </w:r>
    </w:p>
    <w:p w14:paraId="64235FDE" w14:textId="77777777" w:rsidR="002E1317" w:rsidRDefault="00000000">
      <w:pPr>
        <w:pStyle w:val="ac"/>
        <w:spacing w:beforeLines="50" w:before="156" w:afterLines="50" w:after="156" w:line="240" w:lineRule="auto"/>
        <w:ind w:firstLineChars="0" w:firstLine="0"/>
        <w:rPr>
          <w:rFonts w:ascii="Times New Roman" w:eastAsia="黑体"/>
        </w:rPr>
      </w:pPr>
      <w:bookmarkStart w:id="3" w:name="_Hlk214306394"/>
      <w:r>
        <w:rPr>
          <w:rFonts w:ascii="黑体" w:eastAsia="黑体" w:hAnsi="黑体" w:hint="eastAsia"/>
          <w:szCs w:val="21"/>
        </w:rPr>
        <w:t>4</w:t>
      </w:r>
      <w:r>
        <w:rPr>
          <w:rFonts w:ascii="黑体" w:eastAsia="黑体" w:hAnsi="黑体"/>
          <w:szCs w:val="21"/>
        </w:rPr>
        <w:t xml:space="preserve">.1 </w:t>
      </w:r>
      <w:r>
        <w:rPr>
          <w:rFonts w:ascii="黑体" w:eastAsia="黑体" w:hAnsi="黑体" w:hint="eastAsia"/>
          <w:szCs w:val="21"/>
        </w:rPr>
        <w:t>指标体系</w:t>
      </w:r>
    </w:p>
    <w:bookmarkEnd w:id="3"/>
    <w:p w14:paraId="3C21C288" w14:textId="77777777" w:rsidR="002E1317" w:rsidRDefault="00000000">
      <w:pPr>
        <w:pStyle w:val="ac"/>
        <w:spacing w:after="0" w:line="240" w:lineRule="auto"/>
        <w:rPr>
          <w:rFonts w:ascii="Times New Roman"/>
        </w:rPr>
      </w:pPr>
      <w:r>
        <w:rPr>
          <w:rFonts w:ascii="Times New Roman" w:hint="eastAsia"/>
        </w:rPr>
        <w:t>受污染耕地安全利用率</w:t>
      </w:r>
      <w:r>
        <w:rPr>
          <w:rFonts w:ascii="Times New Roman"/>
        </w:rPr>
        <w:t>监测评价</w:t>
      </w:r>
      <w:r>
        <w:rPr>
          <w:rFonts w:ascii="Times New Roman" w:hint="eastAsia"/>
        </w:rPr>
        <w:t>指标体系由受污染耕地面积、种植食用类农产品的受污染耕地面积、食用农产品达标率、种植非食用类农产品的受污染耕地面积等指标构成</w:t>
      </w:r>
      <w:r>
        <w:rPr>
          <w:rFonts w:ascii="Times New Roman"/>
        </w:rPr>
        <w:t>。</w:t>
      </w:r>
    </w:p>
    <w:p w14:paraId="7630BC83" w14:textId="77777777" w:rsidR="002E1317" w:rsidRDefault="00000000">
      <w:pPr>
        <w:pStyle w:val="ac"/>
        <w:spacing w:beforeLines="50" w:before="156" w:afterLines="50" w:after="156" w:line="240" w:lineRule="auto"/>
        <w:ind w:firstLineChars="0" w:firstLine="0"/>
        <w:rPr>
          <w:rFonts w:ascii="黑体" w:eastAsia="黑体" w:hAnsi="黑体" w:hint="eastAsia"/>
          <w:szCs w:val="21"/>
        </w:rPr>
      </w:pPr>
      <w:r>
        <w:rPr>
          <w:rFonts w:ascii="黑体" w:eastAsia="黑体" w:hAnsi="黑体" w:hint="eastAsia"/>
          <w:szCs w:val="21"/>
        </w:rPr>
        <w:lastRenderedPageBreak/>
        <w:t>4</w:t>
      </w:r>
      <w:r>
        <w:rPr>
          <w:rFonts w:ascii="黑体" w:eastAsia="黑体" w:hAnsi="黑体"/>
          <w:szCs w:val="21"/>
        </w:rPr>
        <w:t>.</w:t>
      </w:r>
      <w:r>
        <w:rPr>
          <w:rFonts w:ascii="黑体" w:eastAsia="黑体" w:hAnsi="黑体" w:hint="eastAsia"/>
          <w:szCs w:val="21"/>
        </w:rPr>
        <w:t>2</w:t>
      </w:r>
      <w:r>
        <w:rPr>
          <w:rFonts w:ascii="黑体" w:eastAsia="黑体" w:hAnsi="黑体"/>
          <w:szCs w:val="21"/>
        </w:rPr>
        <w:t xml:space="preserve"> </w:t>
      </w:r>
      <w:r>
        <w:rPr>
          <w:rFonts w:ascii="黑体" w:eastAsia="黑体" w:hAnsi="黑体" w:hint="eastAsia"/>
          <w:szCs w:val="21"/>
        </w:rPr>
        <w:t>取值原则</w:t>
      </w:r>
    </w:p>
    <w:p w14:paraId="46BCD704" w14:textId="77777777" w:rsidR="002E1317" w:rsidRDefault="00000000">
      <w:pPr>
        <w:pStyle w:val="ac"/>
        <w:spacing w:beforeLines="50" w:before="156" w:afterLines="50" w:after="156" w:line="240" w:lineRule="auto"/>
        <w:ind w:firstLineChars="0" w:firstLine="0"/>
        <w:rPr>
          <w:rFonts w:ascii="黑体" w:eastAsia="黑体" w:hAnsi="黑体" w:hint="eastAsia"/>
          <w:szCs w:val="21"/>
        </w:rPr>
      </w:pPr>
      <w:r>
        <w:rPr>
          <w:rFonts w:ascii="黑体" w:eastAsia="黑体" w:hAnsi="黑体" w:hint="eastAsia"/>
          <w:szCs w:val="21"/>
        </w:rPr>
        <w:t>4</w:t>
      </w:r>
      <w:r>
        <w:rPr>
          <w:rFonts w:ascii="黑体" w:eastAsia="黑体" w:hAnsi="黑体"/>
          <w:szCs w:val="21"/>
        </w:rPr>
        <w:t>.</w:t>
      </w:r>
      <w:r>
        <w:rPr>
          <w:rFonts w:ascii="黑体" w:eastAsia="黑体" w:hAnsi="黑体" w:hint="eastAsia"/>
          <w:szCs w:val="21"/>
        </w:rPr>
        <w:t>2.1</w:t>
      </w:r>
      <w:r>
        <w:rPr>
          <w:rFonts w:ascii="黑体" w:eastAsia="黑体" w:hAnsi="黑体"/>
          <w:szCs w:val="21"/>
        </w:rPr>
        <w:t xml:space="preserve"> </w:t>
      </w:r>
      <w:r>
        <w:rPr>
          <w:rFonts w:ascii="黑体" w:eastAsia="黑体" w:hAnsi="黑体" w:hint="eastAsia"/>
          <w:szCs w:val="21"/>
        </w:rPr>
        <w:t>基础资料和数据收集</w:t>
      </w:r>
    </w:p>
    <w:p w14:paraId="55917DCF" w14:textId="77777777" w:rsidR="002E1317" w:rsidRDefault="00000000">
      <w:pPr>
        <w:pStyle w:val="ac"/>
        <w:spacing w:after="0" w:line="240" w:lineRule="auto"/>
        <w:rPr>
          <w:rFonts w:ascii="黑体" w:eastAsia="黑体" w:hAnsi="黑体" w:hint="eastAsia"/>
          <w:szCs w:val="21"/>
        </w:rPr>
      </w:pPr>
      <w:r>
        <w:rPr>
          <w:rFonts w:ascii="Times New Roman" w:hint="eastAsia"/>
        </w:rPr>
        <w:t>参照</w:t>
      </w:r>
      <w:r>
        <w:rPr>
          <w:rFonts w:ascii="Times New Roman"/>
        </w:rPr>
        <w:t>NY/T 4692</w:t>
      </w:r>
      <w:r>
        <w:rPr>
          <w:rFonts w:ascii="Times New Roman" w:hint="eastAsia"/>
        </w:rPr>
        <w:t>，收集</w:t>
      </w:r>
      <w:r>
        <w:rPr>
          <w:rFonts w:ascii="Times New Roman"/>
        </w:rPr>
        <w:t>监测评价范围内</w:t>
      </w:r>
      <w:r>
        <w:rPr>
          <w:rFonts w:ascii="Times New Roman" w:hint="eastAsia"/>
        </w:rPr>
        <w:t>受污染耕地的相关</w:t>
      </w:r>
      <w:r>
        <w:rPr>
          <w:rFonts w:ascii="Times New Roman"/>
        </w:rPr>
        <w:t>基础资料与数据。</w:t>
      </w:r>
    </w:p>
    <w:p w14:paraId="4994415F" w14:textId="77777777" w:rsidR="002E1317" w:rsidRDefault="00000000">
      <w:pPr>
        <w:pStyle w:val="ac"/>
        <w:spacing w:beforeLines="50" w:before="156" w:afterLines="50" w:after="156" w:line="240" w:lineRule="auto"/>
        <w:ind w:firstLineChars="0" w:firstLine="0"/>
        <w:rPr>
          <w:rFonts w:ascii="黑体" w:eastAsia="黑体" w:hAnsi="黑体" w:hint="eastAsia"/>
          <w:szCs w:val="21"/>
        </w:rPr>
      </w:pPr>
      <w:r>
        <w:rPr>
          <w:rFonts w:ascii="黑体" w:eastAsia="黑体" w:hAnsi="黑体" w:hint="eastAsia"/>
          <w:szCs w:val="21"/>
        </w:rPr>
        <w:t>4</w:t>
      </w:r>
      <w:r>
        <w:rPr>
          <w:rFonts w:ascii="黑体" w:eastAsia="黑体" w:hAnsi="黑体"/>
          <w:szCs w:val="21"/>
        </w:rPr>
        <w:t>.</w:t>
      </w:r>
      <w:r>
        <w:rPr>
          <w:rFonts w:ascii="黑体" w:eastAsia="黑体" w:hAnsi="黑体" w:hint="eastAsia"/>
          <w:szCs w:val="21"/>
        </w:rPr>
        <w:t>2.2</w:t>
      </w:r>
      <w:r>
        <w:rPr>
          <w:rFonts w:ascii="黑体" w:eastAsia="黑体" w:hAnsi="黑体"/>
          <w:szCs w:val="21"/>
        </w:rPr>
        <w:t xml:space="preserve"> </w:t>
      </w:r>
      <w:r>
        <w:rPr>
          <w:rFonts w:ascii="黑体" w:eastAsia="黑体" w:hAnsi="黑体" w:hint="eastAsia"/>
          <w:szCs w:val="21"/>
        </w:rPr>
        <w:t>监测点位布设</w:t>
      </w:r>
    </w:p>
    <w:p w14:paraId="579CA4D0" w14:textId="77777777" w:rsidR="002E1317" w:rsidRDefault="00000000">
      <w:pPr>
        <w:spacing w:line="240" w:lineRule="auto"/>
        <w:ind w:firstLineChars="200" w:firstLine="420"/>
        <w:rPr>
          <w:rFonts w:ascii="Times New Roman" w:hAnsi="Times New Roman"/>
          <w:color w:val="333333"/>
          <w:szCs w:val="21"/>
        </w:rPr>
      </w:pPr>
      <w:r>
        <w:rPr>
          <w:rFonts w:ascii="Times New Roman" w:hAnsi="Times New Roman" w:hint="eastAsia"/>
          <w:color w:val="333333"/>
          <w:szCs w:val="21"/>
        </w:rPr>
        <w:t>对监测评价范围内的受污染耕地，在种植食用类农产品的区域上，布设监测点位。监测点位</w:t>
      </w:r>
      <w:r>
        <w:rPr>
          <w:rFonts w:ascii="Times New Roman" w:hAnsi="Times New Roman"/>
          <w:color w:val="333333"/>
          <w:szCs w:val="21"/>
        </w:rPr>
        <w:t>应充分反映土壤和农产品污染状况，一般不少于</w:t>
      </w:r>
      <w:r>
        <w:rPr>
          <w:rFonts w:ascii="Times New Roman" w:hAnsi="Times New Roman"/>
          <w:color w:val="333333"/>
          <w:szCs w:val="21"/>
        </w:rPr>
        <w:t>10</w:t>
      </w:r>
      <w:r>
        <w:rPr>
          <w:rFonts w:ascii="Times New Roman" w:hAnsi="Times New Roman"/>
          <w:color w:val="333333"/>
          <w:szCs w:val="21"/>
        </w:rPr>
        <w:t>个</w:t>
      </w:r>
      <w:r>
        <w:rPr>
          <w:rFonts w:ascii="Times New Roman" w:hAnsi="Times New Roman" w:hint="eastAsia"/>
          <w:color w:val="333333"/>
          <w:szCs w:val="21"/>
        </w:rPr>
        <w:t>，</w:t>
      </w:r>
      <w:r>
        <w:rPr>
          <w:rFonts w:ascii="Times New Roman" w:hAnsi="Times New Roman"/>
          <w:color w:val="333333"/>
          <w:szCs w:val="21"/>
        </w:rPr>
        <w:t>布点密度见表</w:t>
      </w:r>
      <w:r>
        <w:rPr>
          <w:rFonts w:ascii="Times New Roman" w:hAnsi="Times New Roman"/>
          <w:color w:val="333333"/>
          <w:szCs w:val="21"/>
        </w:rPr>
        <w:t>1</w:t>
      </w:r>
      <w:r>
        <w:rPr>
          <w:rFonts w:ascii="Times New Roman" w:hAnsi="Times New Roman"/>
          <w:color w:val="333333"/>
          <w:szCs w:val="21"/>
        </w:rPr>
        <w:t>。如地形破碎，或土壤与农产品重金属含量变异较大，可适当提高布点密度；当地形平坦、种植结构单一、土壤类型单一时，可酌情降低布点密度，但一般不少于</w:t>
      </w:r>
      <w:r>
        <w:rPr>
          <w:rFonts w:ascii="Times New Roman" w:hAnsi="Times New Roman"/>
          <w:color w:val="333333"/>
          <w:szCs w:val="21"/>
        </w:rPr>
        <w:t>10</w:t>
      </w:r>
      <w:r>
        <w:rPr>
          <w:rFonts w:ascii="Times New Roman" w:hAnsi="Times New Roman"/>
          <w:color w:val="333333"/>
          <w:szCs w:val="21"/>
        </w:rPr>
        <w:t>个。</w:t>
      </w:r>
    </w:p>
    <w:p w14:paraId="2F6BAE75" w14:textId="77777777" w:rsidR="002E1317" w:rsidRDefault="00000000">
      <w:pPr>
        <w:widowControl/>
        <w:spacing w:beforeLines="50" w:before="156" w:after="0" w:line="240" w:lineRule="auto"/>
        <w:jc w:val="center"/>
        <w:rPr>
          <w:rFonts w:ascii="黑体" w:eastAsia="黑体" w:hAnsi="黑体" w:cs="黑体" w:hint="eastAsia"/>
          <w:color w:val="333333"/>
          <w:szCs w:val="21"/>
          <w:vertAlign w:val="superscript"/>
        </w:rPr>
      </w:pPr>
      <w:r>
        <w:rPr>
          <w:rFonts w:ascii="黑体" w:eastAsia="黑体" w:hAnsi="黑体" w:cs="黑体" w:hint="eastAsia"/>
          <w:color w:val="333333"/>
          <w:szCs w:val="21"/>
        </w:rPr>
        <w:t>表1  监测点位布点密度</w:t>
      </w:r>
    </w:p>
    <w:tbl>
      <w:tblPr>
        <w:tblStyle w:val="10"/>
        <w:tblW w:w="5000" w:type="pct"/>
        <w:jc w:val="center"/>
        <w:tblLook w:val="04A0" w:firstRow="1" w:lastRow="0" w:firstColumn="1" w:lastColumn="0" w:noHBand="0" w:noVBand="1"/>
      </w:tblPr>
      <w:tblGrid>
        <w:gridCol w:w="4148"/>
        <w:gridCol w:w="4148"/>
      </w:tblGrid>
      <w:tr w:rsidR="002E1317" w14:paraId="35C8BB97" w14:textId="77777777">
        <w:trPr>
          <w:jc w:val="center"/>
        </w:trPr>
        <w:tc>
          <w:tcPr>
            <w:tcW w:w="2500" w:type="pct"/>
            <w:vAlign w:val="center"/>
          </w:tcPr>
          <w:p w14:paraId="511091C0" w14:textId="77777777" w:rsidR="002E1317" w:rsidRDefault="00000000">
            <w:pPr>
              <w:widowControl/>
              <w:spacing w:after="0" w:line="240" w:lineRule="auto"/>
              <w:jc w:val="center"/>
              <w:rPr>
                <w:rFonts w:ascii="Times New Roman" w:hAnsi="Times New Roman"/>
                <w:b/>
                <w:bCs/>
                <w:color w:val="333333"/>
                <w:sz w:val="20"/>
                <w:szCs w:val="20"/>
              </w:rPr>
            </w:pPr>
            <w:r>
              <w:rPr>
                <w:rFonts w:ascii="Times New Roman" w:hAnsi="Times New Roman" w:hint="eastAsia"/>
                <w:b/>
                <w:bCs/>
                <w:color w:val="333333"/>
                <w:sz w:val="20"/>
                <w:szCs w:val="20"/>
              </w:rPr>
              <w:t>类型</w:t>
            </w:r>
          </w:p>
        </w:tc>
        <w:tc>
          <w:tcPr>
            <w:tcW w:w="2500" w:type="pct"/>
            <w:vAlign w:val="center"/>
          </w:tcPr>
          <w:p w14:paraId="03B44506" w14:textId="77777777" w:rsidR="002E1317" w:rsidRDefault="00000000">
            <w:pPr>
              <w:widowControl/>
              <w:spacing w:after="0" w:line="240" w:lineRule="auto"/>
              <w:jc w:val="center"/>
              <w:rPr>
                <w:rFonts w:ascii="Times New Roman" w:hAnsi="Times New Roman"/>
                <w:b/>
                <w:bCs/>
                <w:color w:val="333333"/>
                <w:sz w:val="20"/>
                <w:szCs w:val="20"/>
                <w:vertAlign w:val="superscript"/>
              </w:rPr>
            </w:pPr>
            <w:r>
              <w:rPr>
                <w:rFonts w:ascii="Times New Roman" w:hAnsi="Times New Roman" w:hint="eastAsia"/>
                <w:b/>
                <w:bCs/>
                <w:color w:val="333333"/>
                <w:sz w:val="20"/>
                <w:szCs w:val="20"/>
              </w:rPr>
              <w:t>布点密度</w:t>
            </w:r>
          </w:p>
        </w:tc>
      </w:tr>
      <w:tr w:rsidR="002E1317" w14:paraId="1A429EC9" w14:textId="77777777">
        <w:trPr>
          <w:jc w:val="center"/>
        </w:trPr>
        <w:tc>
          <w:tcPr>
            <w:tcW w:w="2500" w:type="pct"/>
            <w:vAlign w:val="center"/>
          </w:tcPr>
          <w:p w14:paraId="70D16379" w14:textId="77777777" w:rsidR="002E1317" w:rsidRDefault="00000000">
            <w:pPr>
              <w:widowControl/>
              <w:spacing w:after="0" w:line="240" w:lineRule="auto"/>
              <w:jc w:val="center"/>
              <w:rPr>
                <w:rFonts w:ascii="Times New Roman" w:hAnsi="Times New Roman"/>
                <w:color w:val="333333"/>
                <w:sz w:val="20"/>
                <w:szCs w:val="20"/>
              </w:rPr>
            </w:pPr>
            <w:r>
              <w:rPr>
                <w:rFonts w:ascii="Times New Roman" w:hAnsi="Times New Roman" w:hint="eastAsia"/>
                <w:color w:val="333333"/>
                <w:sz w:val="20"/>
                <w:szCs w:val="20"/>
              </w:rPr>
              <w:t>县级及以上行政区域</w:t>
            </w:r>
          </w:p>
        </w:tc>
        <w:tc>
          <w:tcPr>
            <w:tcW w:w="2500" w:type="pct"/>
            <w:vAlign w:val="center"/>
          </w:tcPr>
          <w:p w14:paraId="2BE20E12" w14:textId="77777777" w:rsidR="002E1317" w:rsidRDefault="00000000">
            <w:pPr>
              <w:widowControl/>
              <w:spacing w:after="0" w:line="240" w:lineRule="auto"/>
              <w:jc w:val="center"/>
              <w:rPr>
                <w:rFonts w:ascii="Times New Roman" w:hAnsi="Times New Roman"/>
                <w:color w:val="333333"/>
                <w:sz w:val="20"/>
                <w:szCs w:val="20"/>
              </w:rPr>
            </w:pPr>
            <w:r>
              <w:rPr>
                <w:rFonts w:ascii="Times New Roman" w:hAnsi="Times New Roman" w:hint="eastAsia"/>
                <w:color w:val="333333"/>
                <w:sz w:val="20"/>
                <w:szCs w:val="20"/>
              </w:rPr>
              <w:t>10</w:t>
            </w:r>
            <w:r>
              <w:rPr>
                <w:rFonts w:ascii="Times New Roman" w:hAnsi="Times New Roman" w:hint="eastAsia"/>
                <w:color w:val="333333"/>
                <w:sz w:val="20"/>
                <w:szCs w:val="20"/>
              </w:rPr>
              <w:t>—</w:t>
            </w:r>
            <w:r>
              <w:rPr>
                <w:rFonts w:ascii="Times New Roman" w:hAnsi="Times New Roman" w:hint="eastAsia"/>
                <w:color w:val="333333"/>
                <w:sz w:val="20"/>
                <w:szCs w:val="20"/>
              </w:rPr>
              <w:t>100 hm</w:t>
            </w:r>
            <w:r>
              <w:rPr>
                <w:rFonts w:ascii="Times New Roman" w:hAnsi="Times New Roman" w:hint="eastAsia"/>
                <w:color w:val="333333"/>
                <w:sz w:val="20"/>
                <w:szCs w:val="20"/>
                <w:vertAlign w:val="superscript"/>
              </w:rPr>
              <w:t>2</w:t>
            </w:r>
            <w:r>
              <w:rPr>
                <w:rFonts w:ascii="Times New Roman" w:hAnsi="Times New Roman" w:hint="eastAsia"/>
                <w:color w:val="333333"/>
                <w:sz w:val="20"/>
                <w:szCs w:val="20"/>
              </w:rPr>
              <w:t>/</w:t>
            </w:r>
            <w:r>
              <w:rPr>
                <w:rFonts w:ascii="Times New Roman" w:hAnsi="Times New Roman" w:hint="eastAsia"/>
                <w:color w:val="333333"/>
                <w:sz w:val="20"/>
                <w:szCs w:val="20"/>
              </w:rPr>
              <w:t>点</w:t>
            </w:r>
          </w:p>
        </w:tc>
      </w:tr>
      <w:tr w:rsidR="002E1317" w14:paraId="2BFA25C3" w14:textId="77777777">
        <w:trPr>
          <w:jc w:val="center"/>
        </w:trPr>
        <w:tc>
          <w:tcPr>
            <w:tcW w:w="2500" w:type="pct"/>
            <w:vAlign w:val="center"/>
          </w:tcPr>
          <w:p w14:paraId="08D23B1F" w14:textId="77777777" w:rsidR="002E1317" w:rsidRDefault="00000000">
            <w:pPr>
              <w:widowControl/>
              <w:spacing w:after="0" w:line="240" w:lineRule="auto"/>
              <w:jc w:val="center"/>
              <w:rPr>
                <w:rFonts w:ascii="Times New Roman" w:hAnsi="Times New Roman"/>
                <w:color w:val="333333"/>
                <w:sz w:val="20"/>
                <w:szCs w:val="20"/>
              </w:rPr>
            </w:pPr>
            <w:r>
              <w:rPr>
                <w:rFonts w:ascii="Times New Roman" w:hAnsi="Times New Roman" w:hint="eastAsia"/>
                <w:color w:val="333333"/>
                <w:sz w:val="20"/>
                <w:szCs w:val="20"/>
              </w:rPr>
              <w:t>受污染耕地安全利用项目</w:t>
            </w:r>
          </w:p>
        </w:tc>
        <w:tc>
          <w:tcPr>
            <w:tcW w:w="2500" w:type="pct"/>
            <w:vAlign w:val="center"/>
          </w:tcPr>
          <w:p w14:paraId="0432CD49" w14:textId="77777777" w:rsidR="002E1317" w:rsidRDefault="00000000">
            <w:pPr>
              <w:widowControl/>
              <w:spacing w:after="0" w:line="240" w:lineRule="auto"/>
              <w:jc w:val="center"/>
              <w:rPr>
                <w:rFonts w:ascii="Times New Roman" w:hAnsi="Times New Roman"/>
                <w:color w:val="333333"/>
                <w:sz w:val="20"/>
                <w:szCs w:val="20"/>
              </w:rPr>
            </w:pPr>
            <w:r>
              <w:rPr>
                <w:rFonts w:ascii="Times New Roman" w:hAnsi="Times New Roman" w:hint="eastAsia"/>
                <w:color w:val="333333"/>
                <w:sz w:val="20"/>
                <w:szCs w:val="20"/>
              </w:rPr>
              <w:t>1</w:t>
            </w:r>
            <w:r>
              <w:rPr>
                <w:rFonts w:ascii="Times New Roman" w:hAnsi="Times New Roman" w:hint="eastAsia"/>
                <w:color w:val="333333"/>
                <w:sz w:val="20"/>
                <w:szCs w:val="20"/>
              </w:rPr>
              <w:t>—</w:t>
            </w:r>
            <w:r>
              <w:rPr>
                <w:rFonts w:ascii="Times New Roman" w:hAnsi="Times New Roman" w:hint="eastAsia"/>
                <w:color w:val="333333"/>
                <w:sz w:val="20"/>
                <w:szCs w:val="20"/>
              </w:rPr>
              <w:t>10 hm</w:t>
            </w:r>
            <w:r>
              <w:rPr>
                <w:rFonts w:ascii="Times New Roman" w:hAnsi="Times New Roman" w:hint="eastAsia"/>
                <w:color w:val="333333"/>
                <w:sz w:val="20"/>
                <w:szCs w:val="20"/>
                <w:vertAlign w:val="superscript"/>
              </w:rPr>
              <w:t>2</w:t>
            </w:r>
            <w:r>
              <w:rPr>
                <w:rFonts w:ascii="Times New Roman" w:hAnsi="Times New Roman" w:hint="eastAsia"/>
                <w:color w:val="333333"/>
                <w:sz w:val="20"/>
                <w:szCs w:val="20"/>
              </w:rPr>
              <w:t>/</w:t>
            </w:r>
            <w:r>
              <w:rPr>
                <w:rFonts w:ascii="Times New Roman" w:hAnsi="Times New Roman" w:hint="eastAsia"/>
                <w:color w:val="333333"/>
                <w:sz w:val="20"/>
                <w:szCs w:val="20"/>
              </w:rPr>
              <w:t>点</w:t>
            </w:r>
          </w:p>
        </w:tc>
      </w:tr>
    </w:tbl>
    <w:p w14:paraId="3687852E" w14:textId="77777777" w:rsidR="002E1317" w:rsidRDefault="00000000">
      <w:pPr>
        <w:pStyle w:val="ac"/>
        <w:spacing w:beforeLines="50" w:before="156" w:afterLines="50" w:after="156" w:line="240" w:lineRule="auto"/>
        <w:ind w:firstLineChars="0" w:firstLine="0"/>
        <w:rPr>
          <w:rFonts w:ascii="黑体" w:eastAsia="黑体" w:hAnsi="黑体" w:hint="eastAsia"/>
          <w:szCs w:val="21"/>
        </w:rPr>
      </w:pPr>
      <w:r>
        <w:rPr>
          <w:rFonts w:ascii="黑体" w:eastAsia="黑体" w:hAnsi="黑体" w:hint="eastAsia"/>
          <w:szCs w:val="21"/>
        </w:rPr>
        <w:t>4.2.3 监测布点位置</w:t>
      </w:r>
    </w:p>
    <w:p w14:paraId="080CF94D" w14:textId="77777777" w:rsidR="002E1317" w:rsidRDefault="00000000">
      <w:pPr>
        <w:pStyle w:val="ac"/>
        <w:spacing w:beforeLines="50" w:before="156" w:afterLines="50" w:after="156" w:line="240" w:lineRule="auto"/>
        <w:rPr>
          <w:rFonts w:ascii="Times New Roman" w:eastAsia="黑体"/>
          <w:szCs w:val="21"/>
        </w:rPr>
      </w:pPr>
      <w:r>
        <w:rPr>
          <w:rFonts w:ascii="Times New Roman"/>
        </w:rPr>
        <w:t>基于布点密度计算出监测点位数量后，进行网格布点。在网格内选择有代表性的食用农产品地块中间的开阔地带，参照</w:t>
      </w:r>
      <w:r>
        <w:rPr>
          <w:rFonts w:ascii="Times New Roman"/>
        </w:rPr>
        <w:t>NY/T 4692</w:t>
      </w:r>
      <w:r>
        <w:rPr>
          <w:rFonts w:ascii="Times New Roman"/>
        </w:rPr>
        <w:t>进行布点。不同区域代表性农产品种类见附录</w:t>
      </w:r>
      <w:r>
        <w:rPr>
          <w:rFonts w:ascii="Times New Roman"/>
        </w:rPr>
        <w:t>A</w:t>
      </w:r>
      <w:r>
        <w:rPr>
          <w:rFonts w:ascii="Times New Roman"/>
        </w:rPr>
        <w:t>。</w:t>
      </w:r>
    </w:p>
    <w:p w14:paraId="74C4AC4D" w14:textId="77777777" w:rsidR="002E1317" w:rsidRDefault="00000000">
      <w:pPr>
        <w:pStyle w:val="ac"/>
        <w:spacing w:beforeLines="50" w:before="156" w:afterLines="50" w:after="156" w:line="240" w:lineRule="auto"/>
        <w:ind w:firstLineChars="0" w:firstLine="0"/>
        <w:rPr>
          <w:rFonts w:ascii="黑体" w:eastAsia="黑体" w:hAnsi="黑体" w:hint="eastAsia"/>
          <w:szCs w:val="21"/>
        </w:rPr>
      </w:pPr>
      <w:r>
        <w:rPr>
          <w:rFonts w:ascii="黑体" w:eastAsia="黑体" w:hAnsi="黑体" w:hint="eastAsia"/>
          <w:szCs w:val="21"/>
        </w:rPr>
        <w:t>4.2.4 样品采集检测</w:t>
      </w:r>
    </w:p>
    <w:p w14:paraId="3813020E" w14:textId="77777777" w:rsidR="002E1317" w:rsidRDefault="00000000">
      <w:pPr>
        <w:pStyle w:val="ac"/>
        <w:spacing w:after="0" w:line="240" w:lineRule="auto"/>
        <w:rPr>
          <w:rFonts w:ascii="Times New Roman"/>
        </w:rPr>
      </w:pPr>
      <w:r>
        <w:rPr>
          <w:rFonts w:ascii="Times New Roman"/>
        </w:rPr>
        <w:t>农产品采样按照</w:t>
      </w:r>
      <w:r>
        <w:rPr>
          <w:rFonts w:ascii="Times New Roman"/>
        </w:rPr>
        <w:t>NY/T 398</w:t>
      </w:r>
      <w:r>
        <w:rPr>
          <w:rFonts w:ascii="Times New Roman"/>
        </w:rPr>
        <w:t>的规定执行</w:t>
      </w:r>
      <w:r>
        <w:rPr>
          <w:rFonts w:ascii="Times New Roman" w:hint="eastAsia"/>
        </w:rPr>
        <w:t>。对于多季或轮作、间套作等情况，选择采集重金属富集能力最强、风险最高的主栽农产品；对于季节采摘型农产品，采集当季主采农产品。镉、汞、砷、铅、铬等污染物含量检测方法参照</w:t>
      </w:r>
      <w:r>
        <w:rPr>
          <w:rFonts w:ascii="Times New Roman"/>
        </w:rPr>
        <w:t>NY/T 4692</w:t>
      </w:r>
      <w:r>
        <w:rPr>
          <w:rFonts w:ascii="Times New Roman"/>
        </w:rPr>
        <w:t>。</w:t>
      </w:r>
    </w:p>
    <w:p w14:paraId="4C42A522" w14:textId="77777777" w:rsidR="002E1317" w:rsidRDefault="00000000">
      <w:pPr>
        <w:pStyle w:val="a"/>
        <w:numPr>
          <w:ilvl w:val="0"/>
          <w:numId w:val="0"/>
        </w:numPr>
        <w:spacing w:line="240" w:lineRule="auto"/>
        <w:outlineLvl w:val="9"/>
        <w:rPr>
          <w:rFonts w:hAnsi="黑体" w:hint="eastAsia"/>
        </w:rPr>
      </w:pPr>
      <w:r>
        <w:rPr>
          <w:rFonts w:hAnsi="黑体" w:hint="eastAsia"/>
        </w:rPr>
        <w:t>5</w:t>
      </w:r>
      <w:r>
        <w:rPr>
          <w:rFonts w:hAnsi="黑体"/>
        </w:rPr>
        <w:t xml:space="preserve">  </w:t>
      </w:r>
      <w:r>
        <w:rPr>
          <w:rFonts w:hAnsi="黑体" w:hint="eastAsia"/>
        </w:rPr>
        <w:t>受污染耕地安全利用率监测评价结果形成规则</w:t>
      </w:r>
    </w:p>
    <w:p w14:paraId="33C5DF38" w14:textId="77777777" w:rsidR="002E1317" w:rsidRDefault="00000000">
      <w:pPr>
        <w:pStyle w:val="ac"/>
        <w:spacing w:after="0" w:line="240" w:lineRule="auto"/>
        <w:rPr>
          <w:rFonts w:ascii="Times New Roman"/>
        </w:rPr>
      </w:pPr>
      <w:r>
        <w:rPr>
          <w:rFonts w:ascii="Times New Roman"/>
        </w:rPr>
        <w:t>按照公式（</w:t>
      </w:r>
      <w:r>
        <w:rPr>
          <w:rFonts w:ascii="Times New Roman"/>
        </w:rPr>
        <w:t>1</w:t>
      </w:r>
      <w:r>
        <w:rPr>
          <w:rFonts w:ascii="Times New Roman"/>
        </w:rPr>
        <w:t>）</w:t>
      </w:r>
      <w:r>
        <w:rPr>
          <w:rFonts w:ascii="Times New Roman" w:hint="eastAsia"/>
        </w:rPr>
        <w:t>核算监测评价范围内</w:t>
      </w:r>
      <w:r>
        <w:rPr>
          <w:rFonts w:ascii="Times New Roman"/>
        </w:rPr>
        <w:t>受污染耕地安全利用率。</w:t>
      </w:r>
    </w:p>
    <w:tbl>
      <w:tblPr>
        <w:tblStyle w:val="a7"/>
        <w:tblW w:w="8812"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62"/>
        <w:gridCol w:w="750"/>
      </w:tblGrid>
      <w:tr w:rsidR="002E1317" w14:paraId="511F58CF" w14:textId="77777777">
        <w:trPr>
          <w:trHeight w:val="773"/>
        </w:trPr>
        <w:tc>
          <w:tcPr>
            <w:tcW w:w="8062" w:type="dxa"/>
            <w:vAlign w:val="center"/>
          </w:tcPr>
          <w:p w14:paraId="49114754" w14:textId="77777777" w:rsidR="002E1317" w:rsidRDefault="00000000">
            <w:pPr>
              <w:spacing w:after="0" w:line="240" w:lineRule="auto"/>
              <w:rPr>
                <w:rFonts w:ascii="Times New Roman" w:hAnsi="Times New Roman"/>
              </w:rPr>
            </w:pPr>
            <m:oMathPara>
              <m:oMath>
                <m:r>
                  <m:rPr>
                    <m:sty m:val="p"/>
                  </m:rPr>
                  <w:rPr>
                    <w:rFonts w:ascii="Cambria Math" w:hAnsi="Cambria Math"/>
                    <w:szCs w:val="21"/>
                  </w:rPr>
                  <m:t>受污染耕地安全利用率</m:t>
                </m:r>
                <m:r>
                  <m:rPr>
                    <m:sty m:val="p"/>
                  </m:rPr>
                  <w:rPr>
                    <w:rFonts w:ascii="Cambria Math" w:hAnsi="Cambria Math"/>
                    <w:szCs w:val="21"/>
                  </w:rPr>
                  <m:t>=</m:t>
                </m:r>
                <m:f>
                  <m:fPr>
                    <m:ctrlPr>
                      <w:rPr>
                        <w:rFonts w:ascii="Cambria Math" w:hAnsi="Cambria Math"/>
                        <w:szCs w:val="21"/>
                      </w:rPr>
                    </m:ctrlPr>
                  </m:fPr>
                  <m:num>
                    <m:r>
                      <m:rPr>
                        <m:sty m:val="p"/>
                      </m:rPr>
                      <w:rPr>
                        <w:rFonts w:ascii="Cambria Math" w:hAnsi="Cambria Math"/>
                        <w:szCs w:val="21"/>
                      </w:rPr>
                      <m:t>A×</m:t>
                    </m:r>
                    <m:r>
                      <m:rPr>
                        <m:sty m:val="p"/>
                      </m:rPr>
                      <w:rPr>
                        <w:rFonts w:ascii="Cambria Math" w:hAnsi="Cambria Math"/>
                        <w:szCs w:val="21"/>
                      </w:rPr>
                      <m:t>食用农产品达标率</m:t>
                    </m:r>
                    <m:r>
                      <m:rPr>
                        <m:sty m:val="p"/>
                      </m:rPr>
                      <w:rPr>
                        <w:rFonts w:ascii="Cambria Math" w:hAnsi="Cambria Math"/>
                        <w:szCs w:val="21"/>
                      </w:rPr>
                      <m:t>+B</m:t>
                    </m:r>
                  </m:num>
                  <m:den>
                    <m:r>
                      <m:rPr>
                        <m:sty m:val="p"/>
                      </m:rPr>
                      <w:rPr>
                        <w:rFonts w:ascii="Cambria Math" w:hAnsi="Cambria Math"/>
                        <w:szCs w:val="21"/>
                      </w:rPr>
                      <m:t>C</m:t>
                    </m:r>
                  </m:den>
                </m:f>
                <m:r>
                  <w:rPr>
                    <w:rFonts w:ascii="Cambria Math" w:hAnsi="Cambria Math"/>
                    <w:szCs w:val="21"/>
                  </w:rPr>
                  <m:t>×100%</m:t>
                </m:r>
              </m:oMath>
            </m:oMathPara>
          </w:p>
        </w:tc>
        <w:tc>
          <w:tcPr>
            <w:tcW w:w="750" w:type="dxa"/>
            <w:vAlign w:val="center"/>
          </w:tcPr>
          <w:p w14:paraId="36EA2F24" w14:textId="77777777" w:rsidR="002E1317" w:rsidRDefault="00000000">
            <w:pPr>
              <w:pStyle w:val="ac"/>
              <w:adjustRightInd w:val="0"/>
              <w:snapToGrid w:val="0"/>
              <w:spacing w:after="0" w:line="240" w:lineRule="auto"/>
              <w:ind w:firstLineChars="0" w:firstLine="0"/>
              <w:jc w:val="right"/>
              <w:rPr>
                <w:rFonts w:ascii="Times New Roman" w:hAnsi="Calibri"/>
              </w:rPr>
            </w:pPr>
            <w:r>
              <w:rPr>
                <w:rFonts w:ascii="Times New Roman" w:hAnsi="Calibri"/>
              </w:rPr>
              <w:t>（</w:t>
            </w:r>
            <w:r>
              <w:rPr>
                <w:rFonts w:ascii="Times New Roman" w:hAnsi="Calibri"/>
              </w:rPr>
              <w:t>1</w:t>
            </w:r>
            <w:r>
              <w:rPr>
                <w:rFonts w:ascii="Times New Roman" w:hAnsi="Calibri"/>
              </w:rPr>
              <w:t>）</w:t>
            </w:r>
          </w:p>
        </w:tc>
      </w:tr>
    </w:tbl>
    <w:p w14:paraId="3A9EEA25" w14:textId="77777777" w:rsidR="002E1317" w:rsidRDefault="00000000">
      <w:pPr>
        <w:pStyle w:val="ac"/>
        <w:spacing w:after="0" w:line="240" w:lineRule="auto"/>
        <w:rPr>
          <w:rFonts w:ascii="Times New Roman"/>
        </w:rPr>
      </w:pPr>
      <w:r>
        <w:rPr>
          <w:rFonts w:ascii="Times New Roman"/>
        </w:rPr>
        <w:t>式中，</w:t>
      </w:r>
    </w:p>
    <w:p w14:paraId="7D896B53" w14:textId="77777777" w:rsidR="002E1317" w:rsidRDefault="00000000">
      <w:pPr>
        <w:pStyle w:val="ac"/>
        <w:spacing w:after="0" w:line="240" w:lineRule="auto"/>
        <w:rPr>
          <w:rFonts w:ascii="Times New Roman"/>
        </w:rPr>
      </w:pPr>
      <w:r>
        <w:rPr>
          <w:rFonts w:ascii="Times New Roman"/>
        </w:rPr>
        <w:t>A——A</w:t>
      </w:r>
      <w:r>
        <w:rPr>
          <w:rFonts w:ascii="Times New Roman"/>
        </w:rPr>
        <w:t>类面积，</w:t>
      </w:r>
      <w:r>
        <w:rPr>
          <w:rFonts w:ascii="Times New Roman" w:hint="eastAsia"/>
        </w:rPr>
        <w:t>种植食用类农产品的受污染耕地面积，是种植食用类农产品的安全利用类耕地与严格管控类耕地面积之和。</w:t>
      </w:r>
      <w:r>
        <w:rPr>
          <w:rFonts w:ascii="Times New Roman"/>
        </w:rPr>
        <w:t>单位为公顷（</w:t>
      </w:r>
      <w:r>
        <w:rPr>
          <w:rFonts w:ascii="Times New Roman"/>
        </w:rPr>
        <w:t>hm</w:t>
      </w:r>
      <w:r>
        <w:rPr>
          <w:rFonts w:ascii="Times New Roman"/>
          <w:vertAlign w:val="superscript"/>
        </w:rPr>
        <w:t>2</w:t>
      </w:r>
      <w:r>
        <w:rPr>
          <w:rFonts w:ascii="Times New Roman"/>
        </w:rPr>
        <w:t>）；</w:t>
      </w:r>
    </w:p>
    <w:p w14:paraId="1BE73FD9" w14:textId="77777777" w:rsidR="002E1317" w:rsidRDefault="00000000">
      <w:pPr>
        <w:pStyle w:val="ac"/>
        <w:spacing w:after="0" w:line="240" w:lineRule="auto"/>
        <w:rPr>
          <w:rFonts w:ascii="Times New Roman"/>
        </w:rPr>
      </w:pPr>
      <w:r>
        <w:rPr>
          <w:rFonts w:ascii="Times New Roman"/>
        </w:rPr>
        <w:t>食用农产品达标率</w:t>
      </w:r>
      <w:r>
        <w:rPr>
          <w:rFonts w:ascii="Times New Roman"/>
        </w:rPr>
        <w:t>——</w:t>
      </w:r>
      <w:r>
        <w:rPr>
          <w:rFonts w:ascii="Times New Roman" w:hint="eastAsia"/>
        </w:rPr>
        <w:t>镉、汞、砷、铅、铬等污染物</w:t>
      </w:r>
      <w:r>
        <w:rPr>
          <w:rFonts w:ascii="Times New Roman"/>
        </w:rPr>
        <w:t>含量均小于或等于</w:t>
      </w:r>
      <w:r>
        <w:rPr>
          <w:rFonts w:ascii="Times New Roman"/>
        </w:rPr>
        <w:t>GB 2762</w:t>
      </w:r>
      <w:r>
        <w:rPr>
          <w:rFonts w:ascii="Times New Roman"/>
        </w:rPr>
        <w:t>限量标准的监测点位数量</w:t>
      </w:r>
      <w:r>
        <w:rPr>
          <w:rFonts w:ascii="Times New Roman"/>
        </w:rPr>
        <w:t>/</w:t>
      </w:r>
      <w:r>
        <w:rPr>
          <w:rFonts w:ascii="Times New Roman"/>
        </w:rPr>
        <w:t>监测点位总数</w:t>
      </w:r>
      <w:r>
        <w:rPr>
          <w:rFonts w:ascii="Times New Roman"/>
        </w:rPr>
        <w:t>×100%</w:t>
      </w:r>
      <w:r>
        <w:rPr>
          <w:rFonts w:ascii="Times New Roman"/>
        </w:rPr>
        <w:t>；</w:t>
      </w:r>
    </w:p>
    <w:p w14:paraId="11892281" w14:textId="77777777" w:rsidR="002E1317" w:rsidRDefault="00000000">
      <w:pPr>
        <w:pStyle w:val="ac"/>
        <w:spacing w:after="0" w:line="240" w:lineRule="auto"/>
        <w:rPr>
          <w:rFonts w:ascii="Times New Roman"/>
        </w:rPr>
      </w:pPr>
      <w:r>
        <w:rPr>
          <w:rFonts w:ascii="Times New Roman"/>
        </w:rPr>
        <w:t>B——B</w:t>
      </w:r>
      <w:r>
        <w:rPr>
          <w:rFonts w:ascii="Times New Roman"/>
        </w:rPr>
        <w:t>类面积，</w:t>
      </w:r>
      <w:r>
        <w:rPr>
          <w:rFonts w:ascii="Times New Roman" w:hint="eastAsia"/>
        </w:rPr>
        <w:t>种植非食用类农产品的受污染耕地面积，是种植非食用类农产品（含用于生产饲料、医用酒精、有机酸、燃料乙醇等不用作食品原料的食用类农产品。用于生产饲料的，镉、汞、砷、铅、铬等污染物含量应低于</w:t>
      </w:r>
      <w:r>
        <w:rPr>
          <w:rFonts w:ascii="Times New Roman" w:hint="eastAsia"/>
        </w:rPr>
        <w:t>GB 13078</w:t>
      </w:r>
      <w:r>
        <w:rPr>
          <w:rFonts w:ascii="Times New Roman" w:hint="eastAsia"/>
        </w:rPr>
        <w:t>限量标准），以及退耕还林还草、退耕还湿、轮作休耕、轮牧休牧的安全利用类耕地与严格管控类耕地面积之和。</w:t>
      </w:r>
      <w:r>
        <w:rPr>
          <w:rFonts w:ascii="Times New Roman"/>
        </w:rPr>
        <w:t>单位为公顷（</w:t>
      </w:r>
      <w:r>
        <w:rPr>
          <w:rFonts w:ascii="Times New Roman"/>
        </w:rPr>
        <w:t>hm</w:t>
      </w:r>
      <w:r>
        <w:rPr>
          <w:rFonts w:ascii="Times New Roman"/>
          <w:vertAlign w:val="superscript"/>
        </w:rPr>
        <w:t>2</w:t>
      </w:r>
      <w:r>
        <w:rPr>
          <w:rFonts w:ascii="Times New Roman"/>
        </w:rPr>
        <w:t>）；</w:t>
      </w:r>
    </w:p>
    <w:p w14:paraId="54FD6AF4" w14:textId="77777777" w:rsidR="002E1317" w:rsidRDefault="00000000">
      <w:pPr>
        <w:pStyle w:val="ac"/>
        <w:spacing w:after="0" w:line="240" w:lineRule="auto"/>
        <w:rPr>
          <w:rFonts w:ascii="Times New Roman"/>
        </w:rPr>
      </w:pPr>
      <w:r>
        <w:rPr>
          <w:rFonts w:ascii="Times New Roman"/>
        </w:rPr>
        <w:t>C——C</w:t>
      </w:r>
      <w:r>
        <w:rPr>
          <w:rFonts w:ascii="Times New Roman"/>
        </w:rPr>
        <w:t>类面积，</w:t>
      </w:r>
      <w:r>
        <w:rPr>
          <w:rFonts w:ascii="Times New Roman" w:hint="eastAsia"/>
        </w:rPr>
        <w:t>监测评价范围内受污染耕地面积，是安全利用类耕地与严格管控类耕地面积之和。</w:t>
      </w:r>
      <w:r>
        <w:rPr>
          <w:rFonts w:ascii="Times New Roman"/>
        </w:rPr>
        <w:t>单位为公顷（</w:t>
      </w:r>
      <w:r>
        <w:rPr>
          <w:rFonts w:ascii="Times New Roman"/>
        </w:rPr>
        <w:t>hm</w:t>
      </w:r>
      <w:r>
        <w:rPr>
          <w:rFonts w:ascii="Times New Roman"/>
          <w:vertAlign w:val="superscript"/>
        </w:rPr>
        <w:t>2</w:t>
      </w:r>
      <w:r>
        <w:rPr>
          <w:rFonts w:ascii="Times New Roman"/>
        </w:rPr>
        <w:t>）。</w:t>
      </w:r>
    </w:p>
    <w:p w14:paraId="18FD0668" w14:textId="77777777" w:rsidR="002E1317" w:rsidRDefault="00000000">
      <w:pPr>
        <w:pStyle w:val="ac"/>
        <w:spacing w:after="0" w:line="240" w:lineRule="auto"/>
        <w:rPr>
          <w:rFonts w:ascii="Times New Roman"/>
        </w:rPr>
      </w:pPr>
      <w:r>
        <w:rPr>
          <w:rFonts w:ascii="Times New Roman"/>
        </w:rPr>
        <w:t>计算结果保留</w:t>
      </w:r>
      <w:r>
        <w:rPr>
          <w:rFonts w:ascii="Times New Roman" w:hint="eastAsia"/>
        </w:rPr>
        <w:t>2</w:t>
      </w:r>
      <w:r>
        <w:rPr>
          <w:rFonts w:ascii="Times New Roman"/>
        </w:rPr>
        <w:t>位小数。</w:t>
      </w:r>
      <w:r>
        <w:rPr>
          <w:rFonts w:ascii="Times New Roman" w:hint="eastAsia"/>
        </w:rPr>
        <w:t>核算案例见附录</w:t>
      </w:r>
      <w:r>
        <w:rPr>
          <w:rFonts w:ascii="Times New Roman" w:hint="eastAsia"/>
        </w:rPr>
        <w:t>B</w:t>
      </w:r>
      <w:r>
        <w:rPr>
          <w:rFonts w:ascii="Times New Roman" w:hint="eastAsia"/>
        </w:rPr>
        <w:t>。</w:t>
      </w:r>
    </w:p>
    <w:p w14:paraId="3DEB8F9C" w14:textId="77777777" w:rsidR="002E1317" w:rsidRDefault="00000000">
      <w:pPr>
        <w:pStyle w:val="a"/>
        <w:numPr>
          <w:ilvl w:val="0"/>
          <w:numId w:val="0"/>
        </w:numPr>
        <w:spacing w:line="240" w:lineRule="auto"/>
        <w:outlineLvl w:val="9"/>
        <w:rPr>
          <w:rFonts w:hAnsi="黑体" w:hint="eastAsia"/>
        </w:rPr>
      </w:pPr>
      <w:r>
        <w:rPr>
          <w:rFonts w:hAnsi="黑体" w:hint="eastAsia"/>
        </w:rPr>
        <w:lastRenderedPageBreak/>
        <w:t>6</w:t>
      </w:r>
      <w:r>
        <w:rPr>
          <w:rFonts w:hAnsi="黑体"/>
        </w:rPr>
        <w:t xml:space="preserve">  报告编制</w:t>
      </w:r>
    </w:p>
    <w:p w14:paraId="10F1269F" w14:textId="77777777" w:rsidR="002E1317" w:rsidRDefault="00000000">
      <w:pPr>
        <w:pStyle w:val="ac"/>
        <w:spacing w:after="0" w:line="240" w:lineRule="auto"/>
        <w:rPr>
          <w:rFonts w:ascii="Times New Roman"/>
        </w:rPr>
      </w:pPr>
      <w:r>
        <w:rPr>
          <w:rFonts w:ascii="Times New Roman"/>
        </w:rPr>
        <w:t>编制《受污染耕地安全利用率监测评价报告》，报告提纲见附录</w:t>
      </w:r>
      <w:r>
        <w:rPr>
          <w:rFonts w:ascii="Times New Roman" w:hint="eastAsia"/>
        </w:rPr>
        <w:t>C</w:t>
      </w:r>
      <w:r>
        <w:rPr>
          <w:rFonts w:ascii="Times New Roman"/>
        </w:rPr>
        <w:t>。</w:t>
      </w:r>
    </w:p>
    <w:p w14:paraId="0E63582A" w14:textId="77777777" w:rsidR="002E1317" w:rsidRDefault="00000000">
      <w:pPr>
        <w:widowControl/>
        <w:jc w:val="left"/>
        <w:rPr>
          <w:rFonts w:ascii="Times New Roman" w:hAnsi="Times New Roman"/>
          <w:kern w:val="0"/>
          <w:szCs w:val="20"/>
        </w:rPr>
      </w:pPr>
      <w:r>
        <w:rPr>
          <w:rFonts w:ascii="Times New Roman"/>
        </w:rPr>
        <w:br w:type="page"/>
      </w:r>
    </w:p>
    <w:p w14:paraId="1439F1CB" w14:textId="77777777" w:rsidR="002E1317" w:rsidRDefault="00000000">
      <w:pPr>
        <w:spacing w:beforeLines="200" w:before="624" w:after="0" w:line="240" w:lineRule="auto"/>
        <w:jc w:val="center"/>
        <w:rPr>
          <w:rFonts w:ascii="Times New Roman" w:eastAsia="黑体" w:hAnsi="Times New Roman"/>
        </w:rPr>
      </w:pPr>
      <w:r>
        <w:rPr>
          <w:rFonts w:ascii="Times New Roman" w:eastAsia="黑体" w:hAnsi="Times New Roman"/>
        </w:rPr>
        <w:lastRenderedPageBreak/>
        <w:t>附录</w:t>
      </w:r>
      <w:r>
        <w:rPr>
          <w:rFonts w:ascii="Times New Roman" w:eastAsia="黑体" w:hAnsi="Times New Roman" w:hint="eastAsia"/>
        </w:rPr>
        <w:t>A</w:t>
      </w:r>
    </w:p>
    <w:p w14:paraId="0DFDA482" w14:textId="77777777" w:rsidR="002E1317" w:rsidRDefault="00000000">
      <w:pPr>
        <w:spacing w:after="0" w:line="240" w:lineRule="auto"/>
        <w:jc w:val="center"/>
        <w:rPr>
          <w:rFonts w:ascii="Times New Roman" w:eastAsia="黑体" w:hAnsi="Times New Roman"/>
        </w:rPr>
      </w:pPr>
      <w:r>
        <w:rPr>
          <w:rFonts w:ascii="Times New Roman" w:eastAsia="黑体" w:hAnsi="Times New Roman"/>
        </w:rPr>
        <w:t>（资料性附录）</w:t>
      </w:r>
    </w:p>
    <w:p w14:paraId="569CC5B3" w14:textId="77777777" w:rsidR="002E1317" w:rsidRDefault="00000000">
      <w:pPr>
        <w:widowControl/>
        <w:spacing w:afterLines="100" w:after="312" w:line="360" w:lineRule="auto"/>
        <w:jc w:val="center"/>
        <w:rPr>
          <w:rFonts w:ascii="黑体" w:eastAsia="黑体" w:hAnsi="黑体" w:cs="黑体" w:hint="eastAsia"/>
          <w:szCs w:val="24"/>
        </w:rPr>
      </w:pPr>
      <w:r>
        <w:rPr>
          <w:rFonts w:ascii="黑体" w:eastAsia="黑体" w:hAnsi="黑体" w:cs="黑体" w:hint="eastAsia"/>
          <w:szCs w:val="24"/>
        </w:rPr>
        <w:t>不同区域代表性农产品</w:t>
      </w:r>
    </w:p>
    <w:p w14:paraId="57593FE3" w14:textId="77777777" w:rsidR="002E1317" w:rsidRDefault="00000000">
      <w:pPr>
        <w:pStyle w:val="ac"/>
        <w:spacing w:afterLines="50" w:after="156" w:line="240" w:lineRule="auto"/>
        <w:rPr>
          <w:rFonts w:ascii="Times New Roman"/>
          <w:b/>
        </w:rPr>
      </w:pPr>
      <w:r>
        <w:rPr>
          <w:rFonts w:ascii="Times New Roman" w:hint="eastAsia"/>
          <w:bCs/>
        </w:rPr>
        <w:t>不同区域代表性农产品种类见表</w:t>
      </w:r>
      <w:r>
        <w:rPr>
          <w:rFonts w:ascii="Times New Roman" w:hint="eastAsia"/>
          <w:bCs/>
        </w:rPr>
        <w:t>A.1</w:t>
      </w:r>
      <w:r>
        <w:rPr>
          <w:rFonts w:ascii="Times New Roman" w:hint="eastAsia"/>
          <w:b/>
        </w:rPr>
        <w:t>。</w:t>
      </w:r>
    </w:p>
    <w:p w14:paraId="15F4DBD5" w14:textId="77777777" w:rsidR="002E1317" w:rsidRDefault="00000000">
      <w:pPr>
        <w:pStyle w:val="ac"/>
        <w:spacing w:after="0" w:line="240" w:lineRule="auto"/>
        <w:ind w:firstLineChars="0" w:firstLine="0"/>
        <w:jc w:val="center"/>
        <w:rPr>
          <w:rFonts w:ascii="Times New Roman" w:eastAsia="黑体"/>
          <w:bCs/>
        </w:rPr>
      </w:pPr>
      <w:r>
        <w:rPr>
          <w:rFonts w:ascii="Times New Roman" w:eastAsia="黑体"/>
          <w:bCs/>
        </w:rPr>
        <w:t>表</w:t>
      </w:r>
      <w:r>
        <w:rPr>
          <w:rFonts w:ascii="Times New Roman" w:eastAsia="黑体"/>
          <w:bCs/>
        </w:rPr>
        <w:t xml:space="preserve">A.1  </w:t>
      </w:r>
      <w:r>
        <w:rPr>
          <w:rFonts w:ascii="Times New Roman" w:eastAsia="黑体"/>
          <w:bCs/>
        </w:rPr>
        <w:t>不同区域代表性农产品</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86"/>
        <w:gridCol w:w="1994"/>
        <w:gridCol w:w="1516"/>
        <w:gridCol w:w="2801"/>
      </w:tblGrid>
      <w:tr w:rsidR="002E1317" w14:paraId="7CBF6C06" w14:textId="77777777">
        <w:trPr>
          <w:jc w:val="center"/>
        </w:trPr>
        <w:tc>
          <w:tcPr>
            <w:tcW w:w="402" w:type="pct"/>
            <w:vAlign w:val="center"/>
          </w:tcPr>
          <w:p w14:paraId="6DA23139" w14:textId="77777777" w:rsidR="002E1317" w:rsidRDefault="00000000">
            <w:pPr>
              <w:pStyle w:val="ac"/>
              <w:spacing w:after="0" w:line="240" w:lineRule="auto"/>
              <w:ind w:firstLineChars="0" w:firstLine="0"/>
              <w:rPr>
                <w:rFonts w:ascii="Times New Roman"/>
                <w:bCs/>
                <w:szCs w:val="21"/>
              </w:rPr>
            </w:pPr>
            <w:r>
              <w:rPr>
                <w:rFonts w:ascii="Times New Roman" w:hint="eastAsia"/>
                <w:bCs/>
                <w:szCs w:val="21"/>
              </w:rPr>
              <w:t>序号</w:t>
            </w:r>
          </w:p>
        </w:tc>
        <w:tc>
          <w:tcPr>
            <w:tcW w:w="876" w:type="pct"/>
            <w:vAlign w:val="center"/>
          </w:tcPr>
          <w:p w14:paraId="0247566A" w14:textId="77777777" w:rsidR="002E1317" w:rsidRDefault="00000000">
            <w:pPr>
              <w:pStyle w:val="ac"/>
              <w:spacing w:after="0" w:line="240" w:lineRule="auto"/>
              <w:ind w:firstLineChars="0" w:firstLine="0"/>
              <w:rPr>
                <w:rFonts w:ascii="Times New Roman"/>
                <w:bCs/>
                <w:szCs w:val="21"/>
              </w:rPr>
            </w:pPr>
            <w:r>
              <w:rPr>
                <w:rFonts w:ascii="Times New Roman" w:hint="eastAsia"/>
                <w:bCs/>
                <w:szCs w:val="21"/>
              </w:rPr>
              <w:t>地区</w:t>
            </w:r>
          </w:p>
        </w:tc>
        <w:tc>
          <w:tcPr>
            <w:tcW w:w="1176" w:type="pct"/>
            <w:vAlign w:val="center"/>
          </w:tcPr>
          <w:p w14:paraId="05CAD9FB" w14:textId="77777777" w:rsidR="002E1317" w:rsidRDefault="00000000">
            <w:pPr>
              <w:pStyle w:val="ac"/>
              <w:spacing w:after="0" w:line="240" w:lineRule="auto"/>
              <w:ind w:firstLineChars="0" w:firstLine="0"/>
              <w:rPr>
                <w:rFonts w:ascii="Times New Roman"/>
                <w:bCs/>
                <w:szCs w:val="21"/>
              </w:rPr>
            </w:pPr>
            <w:r>
              <w:rPr>
                <w:rFonts w:ascii="Times New Roman" w:hint="eastAsia"/>
                <w:bCs/>
                <w:szCs w:val="21"/>
              </w:rPr>
              <w:t>种植作物</w:t>
            </w:r>
          </w:p>
        </w:tc>
        <w:tc>
          <w:tcPr>
            <w:tcW w:w="894" w:type="pct"/>
            <w:vAlign w:val="center"/>
          </w:tcPr>
          <w:p w14:paraId="521931E0" w14:textId="77777777" w:rsidR="002E1317" w:rsidRDefault="00000000">
            <w:pPr>
              <w:pStyle w:val="ac"/>
              <w:spacing w:after="0" w:line="240" w:lineRule="auto"/>
              <w:ind w:firstLineChars="0" w:firstLine="0"/>
              <w:rPr>
                <w:rFonts w:ascii="Times New Roman"/>
                <w:bCs/>
                <w:szCs w:val="21"/>
              </w:rPr>
            </w:pPr>
            <w:r>
              <w:rPr>
                <w:rFonts w:ascii="Times New Roman" w:hint="eastAsia"/>
                <w:bCs/>
                <w:szCs w:val="21"/>
              </w:rPr>
              <w:t>监测农产品</w:t>
            </w:r>
          </w:p>
        </w:tc>
        <w:tc>
          <w:tcPr>
            <w:tcW w:w="1652" w:type="pct"/>
            <w:vAlign w:val="center"/>
          </w:tcPr>
          <w:p w14:paraId="2B9B37FB" w14:textId="77777777" w:rsidR="002E1317" w:rsidRDefault="00000000">
            <w:pPr>
              <w:pStyle w:val="ac"/>
              <w:spacing w:after="0" w:line="240" w:lineRule="auto"/>
              <w:ind w:firstLineChars="0" w:firstLine="0"/>
              <w:rPr>
                <w:rFonts w:ascii="Times New Roman"/>
                <w:bCs/>
                <w:szCs w:val="21"/>
              </w:rPr>
            </w:pPr>
            <w:r>
              <w:rPr>
                <w:rFonts w:ascii="Times New Roman" w:hint="eastAsia"/>
                <w:bCs/>
                <w:szCs w:val="21"/>
              </w:rPr>
              <w:t>备注</w:t>
            </w:r>
          </w:p>
        </w:tc>
      </w:tr>
      <w:tr w:rsidR="002E1317" w14:paraId="030DAD38" w14:textId="77777777">
        <w:trPr>
          <w:trHeight w:val="894"/>
          <w:jc w:val="center"/>
        </w:trPr>
        <w:tc>
          <w:tcPr>
            <w:tcW w:w="402" w:type="pct"/>
            <w:vAlign w:val="center"/>
          </w:tcPr>
          <w:p w14:paraId="56A02C32" w14:textId="77777777" w:rsidR="002E1317" w:rsidRDefault="00000000">
            <w:pPr>
              <w:pStyle w:val="ac"/>
              <w:spacing w:after="0" w:line="240" w:lineRule="auto"/>
              <w:ind w:firstLineChars="0" w:firstLine="0"/>
              <w:rPr>
                <w:rFonts w:ascii="Times New Roman"/>
                <w:szCs w:val="21"/>
              </w:rPr>
            </w:pPr>
            <w:r>
              <w:rPr>
                <w:rFonts w:ascii="Times New Roman"/>
                <w:szCs w:val="21"/>
              </w:rPr>
              <w:t>1</w:t>
            </w:r>
          </w:p>
        </w:tc>
        <w:tc>
          <w:tcPr>
            <w:tcW w:w="876" w:type="pct"/>
            <w:vAlign w:val="center"/>
          </w:tcPr>
          <w:p w14:paraId="59CC6A7B"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东北平原区</w:t>
            </w:r>
          </w:p>
        </w:tc>
        <w:tc>
          <w:tcPr>
            <w:tcW w:w="1176" w:type="pct"/>
            <w:vAlign w:val="center"/>
          </w:tcPr>
          <w:p w14:paraId="121DD53E"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玉米、大豆、水稻、高粱、粟、春小麦、蔬菜等</w:t>
            </w:r>
          </w:p>
        </w:tc>
        <w:tc>
          <w:tcPr>
            <w:tcW w:w="894" w:type="pct"/>
            <w:vAlign w:val="center"/>
          </w:tcPr>
          <w:p w14:paraId="1D8A55DC"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小麦、水稻、玉米、蔬菜</w:t>
            </w:r>
          </w:p>
        </w:tc>
        <w:tc>
          <w:tcPr>
            <w:tcW w:w="1652" w:type="pct"/>
            <w:vAlign w:val="center"/>
          </w:tcPr>
          <w:p w14:paraId="5F0CA473"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玉米—大豆—小麦等形式的轮作，实行一年一熟制。</w:t>
            </w:r>
          </w:p>
        </w:tc>
      </w:tr>
      <w:tr w:rsidR="002E1317" w14:paraId="21772E57" w14:textId="77777777">
        <w:trPr>
          <w:jc w:val="center"/>
        </w:trPr>
        <w:tc>
          <w:tcPr>
            <w:tcW w:w="402" w:type="pct"/>
            <w:vMerge w:val="restart"/>
            <w:vAlign w:val="center"/>
          </w:tcPr>
          <w:p w14:paraId="3EBADDDD" w14:textId="77777777" w:rsidR="002E1317" w:rsidRDefault="00000000">
            <w:pPr>
              <w:pStyle w:val="ac"/>
              <w:spacing w:after="0" w:line="240" w:lineRule="auto"/>
              <w:ind w:firstLineChars="0" w:firstLine="0"/>
              <w:rPr>
                <w:rFonts w:ascii="Times New Roman"/>
                <w:szCs w:val="21"/>
              </w:rPr>
            </w:pPr>
            <w:r>
              <w:rPr>
                <w:rFonts w:ascii="Times New Roman"/>
                <w:szCs w:val="21"/>
              </w:rPr>
              <w:t>2</w:t>
            </w:r>
          </w:p>
        </w:tc>
        <w:tc>
          <w:tcPr>
            <w:tcW w:w="876" w:type="pct"/>
            <w:vMerge w:val="restart"/>
            <w:vAlign w:val="center"/>
          </w:tcPr>
          <w:p w14:paraId="21DE3AAF"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黄淮海平原地区</w:t>
            </w:r>
          </w:p>
        </w:tc>
        <w:tc>
          <w:tcPr>
            <w:tcW w:w="1176" w:type="pct"/>
            <w:vMerge w:val="restart"/>
            <w:vAlign w:val="center"/>
          </w:tcPr>
          <w:p w14:paraId="657E1C6B"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小麦、棉花、玉米、大豆、蔬菜等</w:t>
            </w:r>
          </w:p>
        </w:tc>
        <w:tc>
          <w:tcPr>
            <w:tcW w:w="894" w:type="pct"/>
            <w:vAlign w:val="center"/>
          </w:tcPr>
          <w:p w14:paraId="321534B3"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小麦、蔬菜</w:t>
            </w:r>
          </w:p>
        </w:tc>
        <w:tc>
          <w:tcPr>
            <w:tcW w:w="1652" w:type="pct"/>
            <w:vAlign w:val="center"/>
          </w:tcPr>
          <w:p w14:paraId="72938C38"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黄河以北旱地因水分限制以一年一熟为主，水浇地上则实行一年二熟制。</w:t>
            </w:r>
          </w:p>
        </w:tc>
      </w:tr>
      <w:tr w:rsidR="002E1317" w14:paraId="1F8C50CB" w14:textId="77777777">
        <w:trPr>
          <w:trHeight w:val="529"/>
          <w:jc w:val="center"/>
        </w:trPr>
        <w:tc>
          <w:tcPr>
            <w:tcW w:w="402" w:type="pct"/>
            <w:vMerge/>
            <w:vAlign w:val="center"/>
          </w:tcPr>
          <w:p w14:paraId="74398BF4" w14:textId="77777777" w:rsidR="002E1317" w:rsidRDefault="002E1317">
            <w:pPr>
              <w:pStyle w:val="ac"/>
              <w:spacing w:after="0" w:line="240" w:lineRule="auto"/>
              <w:ind w:firstLineChars="0" w:firstLine="0"/>
              <w:rPr>
                <w:rFonts w:ascii="Times New Roman"/>
                <w:szCs w:val="21"/>
              </w:rPr>
            </w:pPr>
          </w:p>
        </w:tc>
        <w:tc>
          <w:tcPr>
            <w:tcW w:w="876" w:type="pct"/>
            <w:vMerge/>
            <w:vAlign w:val="center"/>
          </w:tcPr>
          <w:p w14:paraId="5EBB135D" w14:textId="77777777" w:rsidR="002E1317" w:rsidRDefault="002E1317">
            <w:pPr>
              <w:pStyle w:val="ac"/>
              <w:spacing w:after="0" w:line="240" w:lineRule="auto"/>
              <w:ind w:firstLineChars="0" w:firstLine="0"/>
              <w:rPr>
                <w:rFonts w:ascii="Times New Roman"/>
                <w:szCs w:val="21"/>
              </w:rPr>
            </w:pPr>
          </w:p>
        </w:tc>
        <w:tc>
          <w:tcPr>
            <w:tcW w:w="1176" w:type="pct"/>
            <w:vMerge/>
            <w:vAlign w:val="center"/>
          </w:tcPr>
          <w:p w14:paraId="49E2BD36" w14:textId="77777777" w:rsidR="002E1317" w:rsidRDefault="002E1317">
            <w:pPr>
              <w:pStyle w:val="ac"/>
              <w:spacing w:after="0" w:line="240" w:lineRule="auto"/>
              <w:ind w:firstLineChars="0" w:firstLine="0"/>
              <w:rPr>
                <w:rFonts w:ascii="Times New Roman"/>
                <w:szCs w:val="21"/>
              </w:rPr>
            </w:pPr>
          </w:p>
        </w:tc>
        <w:tc>
          <w:tcPr>
            <w:tcW w:w="894" w:type="pct"/>
            <w:vAlign w:val="center"/>
          </w:tcPr>
          <w:p w14:paraId="1A81A613"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小麦、玉米、蔬菜</w:t>
            </w:r>
          </w:p>
        </w:tc>
        <w:tc>
          <w:tcPr>
            <w:tcW w:w="1652" w:type="pct"/>
            <w:vAlign w:val="center"/>
          </w:tcPr>
          <w:p w14:paraId="7ACCD821"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实行一年二熟制。</w:t>
            </w:r>
          </w:p>
        </w:tc>
      </w:tr>
      <w:tr w:rsidR="002E1317" w14:paraId="00122C91" w14:textId="77777777">
        <w:trPr>
          <w:trHeight w:val="646"/>
          <w:jc w:val="center"/>
        </w:trPr>
        <w:tc>
          <w:tcPr>
            <w:tcW w:w="402" w:type="pct"/>
            <w:vMerge w:val="restart"/>
            <w:vAlign w:val="center"/>
          </w:tcPr>
          <w:p w14:paraId="65043750" w14:textId="77777777" w:rsidR="002E1317" w:rsidRDefault="00000000">
            <w:pPr>
              <w:pStyle w:val="ac"/>
              <w:spacing w:after="0" w:line="240" w:lineRule="auto"/>
              <w:ind w:firstLineChars="0" w:firstLine="0"/>
              <w:rPr>
                <w:rFonts w:ascii="Times New Roman"/>
                <w:szCs w:val="21"/>
              </w:rPr>
            </w:pPr>
            <w:r>
              <w:rPr>
                <w:rFonts w:ascii="Times New Roman"/>
                <w:szCs w:val="21"/>
              </w:rPr>
              <w:t>3</w:t>
            </w:r>
          </w:p>
        </w:tc>
        <w:tc>
          <w:tcPr>
            <w:tcW w:w="876" w:type="pct"/>
            <w:vMerge w:val="restart"/>
            <w:vAlign w:val="center"/>
          </w:tcPr>
          <w:p w14:paraId="6DCAE169"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长江中下游平原丘陵地区</w:t>
            </w:r>
          </w:p>
        </w:tc>
        <w:tc>
          <w:tcPr>
            <w:tcW w:w="1176" w:type="pct"/>
            <w:vMerge w:val="restart"/>
            <w:vAlign w:val="center"/>
          </w:tcPr>
          <w:p w14:paraId="1B3661D2"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水稻为主，兼产棉、麻、油菜、蚕丝、茶、蔬菜等</w:t>
            </w:r>
          </w:p>
        </w:tc>
        <w:tc>
          <w:tcPr>
            <w:tcW w:w="894" w:type="pct"/>
            <w:vAlign w:val="center"/>
          </w:tcPr>
          <w:p w14:paraId="105385B1"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水稻、蔬菜</w:t>
            </w:r>
          </w:p>
        </w:tc>
        <w:tc>
          <w:tcPr>
            <w:tcW w:w="1652" w:type="pct"/>
            <w:vAlign w:val="center"/>
          </w:tcPr>
          <w:p w14:paraId="6F3C86F4"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实行稻麦两熟制。</w:t>
            </w:r>
          </w:p>
        </w:tc>
      </w:tr>
      <w:tr w:rsidR="002E1317" w14:paraId="17C2CD77" w14:textId="77777777">
        <w:trPr>
          <w:jc w:val="center"/>
        </w:trPr>
        <w:tc>
          <w:tcPr>
            <w:tcW w:w="402" w:type="pct"/>
            <w:vMerge/>
            <w:vAlign w:val="center"/>
          </w:tcPr>
          <w:p w14:paraId="544455C5" w14:textId="77777777" w:rsidR="002E1317" w:rsidRDefault="002E1317">
            <w:pPr>
              <w:pStyle w:val="ac"/>
              <w:spacing w:after="0" w:line="240" w:lineRule="auto"/>
              <w:ind w:firstLineChars="0" w:firstLine="0"/>
              <w:rPr>
                <w:rFonts w:ascii="Times New Roman"/>
                <w:szCs w:val="21"/>
              </w:rPr>
            </w:pPr>
          </w:p>
        </w:tc>
        <w:tc>
          <w:tcPr>
            <w:tcW w:w="876" w:type="pct"/>
            <w:vMerge/>
            <w:vAlign w:val="center"/>
          </w:tcPr>
          <w:p w14:paraId="5C9B4F04" w14:textId="77777777" w:rsidR="002E1317" w:rsidRDefault="002E1317">
            <w:pPr>
              <w:pStyle w:val="ac"/>
              <w:spacing w:after="0" w:line="240" w:lineRule="auto"/>
              <w:ind w:firstLineChars="0" w:firstLine="0"/>
              <w:rPr>
                <w:rFonts w:ascii="Times New Roman"/>
                <w:szCs w:val="21"/>
              </w:rPr>
            </w:pPr>
          </w:p>
        </w:tc>
        <w:tc>
          <w:tcPr>
            <w:tcW w:w="1176" w:type="pct"/>
            <w:vMerge/>
            <w:vAlign w:val="center"/>
          </w:tcPr>
          <w:p w14:paraId="4D333BDF" w14:textId="77777777" w:rsidR="002E1317" w:rsidRDefault="002E1317">
            <w:pPr>
              <w:pStyle w:val="ac"/>
              <w:spacing w:after="0" w:line="240" w:lineRule="auto"/>
              <w:ind w:firstLineChars="0" w:firstLine="0"/>
              <w:rPr>
                <w:rFonts w:ascii="Times New Roman"/>
                <w:szCs w:val="21"/>
              </w:rPr>
            </w:pPr>
          </w:p>
        </w:tc>
        <w:tc>
          <w:tcPr>
            <w:tcW w:w="894" w:type="pct"/>
            <w:vAlign w:val="center"/>
          </w:tcPr>
          <w:p w14:paraId="418CB7AC"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晚稻、蔬菜</w:t>
            </w:r>
          </w:p>
        </w:tc>
        <w:tc>
          <w:tcPr>
            <w:tcW w:w="1652" w:type="pct"/>
            <w:vAlign w:val="center"/>
          </w:tcPr>
          <w:p w14:paraId="4E6F1D45"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长江以南多双季稻，盛行绿肥—稻—稻、油菜—稻—稻，或麦—稻—稻等三熟制。</w:t>
            </w:r>
          </w:p>
        </w:tc>
      </w:tr>
      <w:tr w:rsidR="002E1317" w14:paraId="14DA021C" w14:textId="77777777">
        <w:trPr>
          <w:jc w:val="center"/>
        </w:trPr>
        <w:tc>
          <w:tcPr>
            <w:tcW w:w="402" w:type="pct"/>
            <w:vAlign w:val="center"/>
          </w:tcPr>
          <w:p w14:paraId="27510933" w14:textId="77777777" w:rsidR="002E1317" w:rsidRDefault="00000000">
            <w:pPr>
              <w:pStyle w:val="ac"/>
              <w:spacing w:after="0" w:line="240" w:lineRule="auto"/>
              <w:ind w:firstLineChars="0" w:firstLine="0"/>
              <w:rPr>
                <w:rFonts w:ascii="Times New Roman"/>
                <w:szCs w:val="21"/>
              </w:rPr>
            </w:pPr>
            <w:r>
              <w:rPr>
                <w:rFonts w:ascii="Times New Roman"/>
                <w:szCs w:val="21"/>
              </w:rPr>
              <w:t>4</w:t>
            </w:r>
          </w:p>
        </w:tc>
        <w:tc>
          <w:tcPr>
            <w:tcW w:w="876" w:type="pct"/>
            <w:vAlign w:val="center"/>
          </w:tcPr>
          <w:p w14:paraId="6ADAC17E"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华南地区</w:t>
            </w:r>
          </w:p>
        </w:tc>
        <w:tc>
          <w:tcPr>
            <w:tcW w:w="1176" w:type="pct"/>
            <w:vAlign w:val="center"/>
          </w:tcPr>
          <w:p w14:paraId="653DE20D"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双季稻为主，冬季除小麦外，南部还可种水稻、甘薯、玉米、蔬菜等</w:t>
            </w:r>
          </w:p>
        </w:tc>
        <w:tc>
          <w:tcPr>
            <w:tcW w:w="894" w:type="pct"/>
            <w:vAlign w:val="center"/>
          </w:tcPr>
          <w:p w14:paraId="1216007D"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晚稻、蔬菜</w:t>
            </w:r>
          </w:p>
        </w:tc>
        <w:tc>
          <w:tcPr>
            <w:tcW w:w="1652" w:type="pct"/>
            <w:vAlign w:val="center"/>
          </w:tcPr>
          <w:p w14:paraId="711D873C"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实行一年三熟制。</w:t>
            </w:r>
          </w:p>
        </w:tc>
      </w:tr>
      <w:tr w:rsidR="002E1317" w14:paraId="165F1DF2" w14:textId="77777777">
        <w:trPr>
          <w:jc w:val="center"/>
        </w:trPr>
        <w:tc>
          <w:tcPr>
            <w:tcW w:w="402" w:type="pct"/>
            <w:vMerge w:val="restart"/>
            <w:vAlign w:val="center"/>
          </w:tcPr>
          <w:p w14:paraId="0A8FA2A6" w14:textId="77777777" w:rsidR="002E1317" w:rsidRDefault="00000000">
            <w:pPr>
              <w:pStyle w:val="ac"/>
              <w:spacing w:after="0" w:line="240" w:lineRule="auto"/>
              <w:ind w:firstLineChars="0" w:firstLine="0"/>
              <w:rPr>
                <w:rFonts w:ascii="Times New Roman"/>
                <w:szCs w:val="21"/>
              </w:rPr>
            </w:pPr>
            <w:r>
              <w:rPr>
                <w:rFonts w:ascii="Times New Roman"/>
                <w:szCs w:val="21"/>
              </w:rPr>
              <w:t>5</w:t>
            </w:r>
          </w:p>
        </w:tc>
        <w:tc>
          <w:tcPr>
            <w:tcW w:w="876" w:type="pct"/>
            <w:vMerge w:val="restart"/>
            <w:vAlign w:val="center"/>
          </w:tcPr>
          <w:p w14:paraId="435F6FCE"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西南高原盆地地区</w:t>
            </w:r>
          </w:p>
        </w:tc>
        <w:tc>
          <w:tcPr>
            <w:tcW w:w="1176" w:type="pct"/>
            <w:vMerge w:val="restart"/>
            <w:vAlign w:val="center"/>
          </w:tcPr>
          <w:p w14:paraId="3F50FFD6"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水稻、小麦、玉米、油菜、蔬菜等</w:t>
            </w:r>
          </w:p>
        </w:tc>
        <w:tc>
          <w:tcPr>
            <w:tcW w:w="894" w:type="pct"/>
            <w:vAlign w:val="center"/>
          </w:tcPr>
          <w:p w14:paraId="217391F5"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水稻、蔬菜</w:t>
            </w:r>
          </w:p>
        </w:tc>
        <w:tc>
          <w:tcPr>
            <w:tcW w:w="1652" w:type="pct"/>
            <w:vAlign w:val="center"/>
          </w:tcPr>
          <w:p w14:paraId="69B315FB"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底部的河川谷地或平坝主要是以麦—稻、油菜—稻、蚕豆—稻等一年二熟制为主。</w:t>
            </w:r>
          </w:p>
        </w:tc>
      </w:tr>
      <w:tr w:rsidR="002E1317" w14:paraId="5D268D08" w14:textId="77777777">
        <w:trPr>
          <w:jc w:val="center"/>
        </w:trPr>
        <w:tc>
          <w:tcPr>
            <w:tcW w:w="402" w:type="pct"/>
            <w:vMerge/>
            <w:vAlign w:val="center"/>
          </w:tcPr>
          <w:p w14:paraId="5A0C85A2" w14:textId="77777777" w:rsidR="002E1317" w:rsidRDefault="002E1317">
            <w:pPr>
              <w:pStyle w:val="ac"/>
              <w:spacing w:after="0" w:line="240" w:lineRule="auto"/>
              <w:ind w:firstLineChars="0" w:firstLine="0"/>
              <w:rPr>
                <w:rFonts w:ascii="Times New Roman"/>
                <w:szCs w:val="21"/>
              </w:rPr>
            </w:pPr>
          </w:p>
        </w:tc>
        <w:tc>
          <w:tcPr>
            <w:tcW w:w="876" w:type="pct"/>
            <w:vMerge/>
            <w:vAlign w:val="center"/>
          </w:tcPr>
          <w:p w14:paraId="2D6F84F3" w14:textId="77777777" w:rsidR="002E1317" w:rsidRDefault="002E1317">
            <w:pPr>
              <w:pStyle w:val="ac"/>
              <w:spacing w:after="0" w:line="240" w:lineRule="auto"/>
              <w:ind w:firstLineChars="0" w:firstLine="0"/>
              <w:rPr>
                <w:rFonts w:ascii="Times New Roman"/>
                <w:szCs w:val="21"/>
              </w:rPr>
            </w:pPr>
          </w:p>
        </w:tc>
        <w:tc>
          <w:tcPr>
            <w:tcW w:w="1176" w:type="pct"/>
            <w:vMerge/>
            <w:vAlign w:val="center"/>
          </w:tcPr>
          <w:p w14:paraId="2A4C23BD" w14:textId="77777777" w:rsidR="002E1317" w:rsidRDefault="002E1317">
            <w:pPr>
              <w:pStyle w:val="ac"/>
              <w:spacing w:after="0" w:line="240" w:lineRule="auto"/>
              <w:ind w:firstLineChars="0" w:firstLine="0"/>
              <w:rPr>
                <w:rFonts w:ascii="Times New Roman"/>
                <w:szCs w:val="21"/>
              </w:rPr>
            </w:pPr>
          </w:p>
        </w:tc>
        <w:tc>
          <w:tcPr>
            <w:tcW w:w="894" w:type="pct"/>
            <w:vAlign w:val="center"/>
          </w:tcPr>
          <w:p w14:paraId="4603CBBF"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水稻、小麦、玉米、蔬菜</w:t>
            </w:r>
          </w:p>
        </w:tc>
        <w:tc>
          <w:tcPr>
            <w:tcW w:w="1652" w:type="pct"/>
            <w:vAlign w:val="center"/>
          </w:tcPr>
          <w:p w14:paraId="1AAC402C"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实行一年一熟或麦—玉米（甘薯、玉米）旱作二熟制。</w:t>
            </w:r>
          </w:p>
        </w:tc>
      </w:tr>
      <w:tr w:rsidR="002E1317" w14:paraId="2AE84A17" w14:textId="77777777">
        <w:trPr>
          <w:trHeight w:val="590"/>
          <w:jc w:val="center"/>
        </w:trPr>
        <w:tc>
          <w:tcPr>
            <w:tcW w:w="402" w:type="pct"/>
            <w:vMerge/>
            <w:vAlign w:val="center"/>
          </w:tcPr>
          <w:p w14:paraId="2AFD5CD3" w14:textId="77777777" w:rsidR="002E1317" w:rsidRDefault="002E1317">
            <w:pPr>
              <w:pStyle w:val="ac"/>
              <w:spacing w:after="0" w:line="240" w:lineRule="auto"/>
              <w:ind w:firstLineChars="0" w:firstLine="0"/>
              <w:rPr>
                <w:rFonts w:ascii="Times New Roman"/>
                <w:szCs w:val="21"/>
              </w:rPr>
            </w:pPr>
          </w:p>
        </w:tc>
        <w:tc>
          <w:tcPr>
            <w:tcW w:w="876" w:type="pct"/>
            <w:vMerge/>
            <w:vAlign w:val="center"/>
          </w:tcPr>
          <w:p w14:paraId="54DEDA3A" w14:textId="77777777" w:rsidR="002E1317" w:rsidRDefault="002E1317">
            <w:pPr>
              <w:pStyle w:val="ac"/>
              <w:spacing w:after="0" w:line="240" w:lineRule="auto"/>
              <w:ind w:firstLineChars="0" w:firstLine="0"/>
              <w:rPr>
                <w:rFonts w:ascii="Times New Roman"/>
                <w:szCs w:val="21"/>
              </w:rPr>
            </w:pPr>
          </w:p>
        </w:tc>
        <w:tc>
          <w:tcPr>
            <w:tcW w:w="1176" w:type="pct"/>
            <w:vMerge/>
            <w:vAlign w:val="center"/>
          </w:tcPr>
          <w:p w14:paraId="0466B92B" w14:textId="77777777" w:rsidR="002E1317" w:rsidRDefault="002E1317">
            <w:pPr>
              <w:pStyle w:val="ac"/>
              <w:spacing w:after="0" w:line="240" w:lineRule="auto"/>
              <w:ind w:firstLineChars="0" w:firstLine="0"/>
              <w:rPr>
                <w:rFonts w:ascii="Times New Roman"/>
                <w:szCs w:val="21"/>
              </w:rPr>
            </w:pPr>
          </w:p>
        </w:tc>
        <w:tc>
          <w:tcPr>
            <w:tcW w:w="894" w:type="pct"/>
            <w:vAlign w:val="center"/>
          </w:tcPr>
          <w:p w14:paraId="73DA4EC8"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水稻、蔬菜</w:t>
            </w:r>
          </w:p>
        </w:tc>
        <w:tc>
          <w:tcPr>
            <w:tcW w:w="1652" w:type="pct"/>
            <w:vAlign w:val="center"/>
          </w:tcPr>
          <w:p w14:paraId="190D3649"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成都平原水田以麦—稻二熟为主，旱丘地则多行麦、玉米、甘薯套种的一年三熟或二熟制。</w:t>
            </w:r>
          </w:p>
        </w:tc>
      </w:tr>
      <w:tr w:rsidR="002E1317" w14:paraId="0C783C06" w14:textId="77777777">
        <w:trPr>
          <w:jc w:val="center"/>
        </w:trPr>
        <w:tc>
          <w:tcPr>
            <w:tcW w:w="402" w:type="pct"/>
            <w:vAlign w:val="center"/>
          </w:tcPr>
          <w:p w14:paraId="2C6F1758" w14:textId="77777777" w:rsidR="002E1317" w:rsidRDefault="00000000">
            <w:pPr>
              <w:pStyle w:val="ac"/>
              <w:spacing w:after="0" w:line="240" w:lineRule="auto"/>
              <w:ind w:firstLineChars="0" w:firstLine="0"/>
              <w:rPr>
                <w:rFonts w:ascii="Times New Roman"/>
                <w:szCs w:val="21"/>
              </w:rPr>
            </w:pPr>
            <w:r>
              <w:rPr>
                <w:rFonts w:ascii="Times New Roman"/>
                <w:szCs w:val="21"/>
              </w:rPr>
              <w:t>6</w:t>
            </w:r>
          </w:p>
        </w:tc>
        <w:tc>
          <w:tcPr>
            <w:tcW w:w="876" w:type="pct"/>
            <w:vAlign w:val="center"/>
          </w:tcPr>
          <w:p w14:paraId="3CDF4D48"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西北高原地区</w:t>
            </w:r>
          </w:p>
        </w:tc>
        <w:tc>
          <w:tcPr>
            <w:tcW w:w="1176" w:type="pct"/>
            <w:vAlign w:val="center"/>
          </w:tcPr>
          <w:p w14:paraId="5DA4937A"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春小麦、冬小麦、玉米、蔬菜以及喜凉的马铃薯、莜麦等</w:t>
            </w:r>
          </w:p>
        </w:tc>
        <w:tc>
          <w:tcPr>
            <w:tcW w:w="894" w:type="pct"/>
            <w:vAlign w:val="center"/>
          </w:tcPr>
          <w:p w14:paraId="0DBAA4BD"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小麦、莜麦</w:t>
            </w:r>
          </w:p>
          <w:p w14:paraId="4C4E8BF9"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、玉米、蔬菜</w:t>
            </w:r>
          </w:p>
        </w:tc>
        <w:tc>
          <w:tcPr>
            <w:tcW w:w="1652" w:type="pct"/>
            <w:vAlign w:val="center"/>
          </w:tcPr>
          <w:p w14:paraId="7C5CBAD3"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一年一熟，南疆气候温暖，多实行一年二熟制。</w:t>
            </w:r>
          </w:p>
        </w:tc>
      </w:tr>
      <w:tr w:rsidR="002E1317" w14:paraId="1ABAF4CC" w14:textId="77777777">
        <w:trPr>
          <w:jc w:val="center"/>
        </w:trPr>
        <w:tc>
          <w:tcPr>
            <w:tcW w:w="402" w:type="pct"/>
            <w:vAlign w:val="center"/>
          </w:tcPr>
          <w:p w14:paraId="7BA35FF5" w14:textId="77777777" w:rsidR="002E1317" w:rsidRDefault="00000000">
            <w:pPr>
              <w:pStyle w:val="ac"/>
              <w:spacing w:after="0" w:line="240" w:lineRule="auto"/>
              <w:ind w:firstLineChars="0" w:firstLine="0"/>
              <w:rPr>
                <w:rFonts w:ascii="Times New Roman"/>
                <w:szCs w:val="21"/>
              </w:rPr>
            </w:pPr>
            <w:r>
              <w:rPr>
                <w:rFonts w:ascii="Times New Roman"/>
                <w:szCs w:val="21"/>
              </w:rPr>
              <w:t>7</w:t>
            </w:r>
          </w:p>
        </w:tc>
        <w:tc>
          <w:tcPr>
            <w:tcW w:w="876" w:type="pct"/>
            <w:vAlign w:val="center"/>
          </w:tcPr>
          <w:p w14:paraId="45A53988"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青藏高原</w:t>
            </w:r>
          </w:p>
        </w:tc>
        <w:tc>
          <w:tcPr>
            <w:tcW w:w="1176" w:type="pct"/>
            <w:vAlign w:val="center"/>
          </w:tcPr>
          <w:p w14:paraId="6E9CF63D"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主要种植青稞、小麦、莜麦、马铃薯、蔬菜等作物</w:t>
            </w:r>
          </w:p>
        </w:tc>
        <w:tc>
          <w:tcPr>
            <w:tcW w:w="894" w:type="pct"/>
            <w:vAlign w:val="center"/>
          </w:tcPr>
          <w:p w14:paraId="169F6837"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小麦、莜麦、青稞、蔬菜</w:t>
            </w:r>
          </w:p>
        </w:tc>
        <w:tc>
          <w:tcPr>
            <w:tcW w:w="1652" w:type="pct"/>
            <w:vAlign w:val="center"/>
          </w:tcPr>
          <w:p w14:paraId="7C6DC8BD" w14:textId="77777777" w:rsidR="002E1317" w:rsidRDefault="00000000">
            <w:pPr>
              <w:pStyle w:val="ac"/>
              <w:spacing w:after="0" w:line="240" w:lineRule="auto"/>
              <w:ind w:firstLineChars="0" w:firstLine="0"/>
              <w:rPr>
                <w:rFonts w:ascii="Times New Roman"/>
                <w:szCs w:val="21"/>
              </w:rPr>
            </w:pPr>
            <w:r>
              <w:rPr>
                <w:rFonts w:ascii="Times New Roman" w:hint="eastAsia"/>
                <w:szCs w:val="21"/>
              </w:rPr>
              <w:t>实行一年一熟制。</w:t>
            </w:r>
          </w:p>
        </w:tc>
      </w:tr>
    </w:tbl>
    <w:p w14:paraId="114DEC96" w14:textId="77777777" w:rsidR="002E1317" w:rsidRDefault="002E1317">
      <w:pPr>
        <w:pStyle w:val="ac"/>
        <w:spacing w:after="0" w:line="240" w:lineRule="auto"/>
        <w:rPr>
          <w:rFonts w:ascii="Times New Roman"/>
        </w:rPr>
      </w:pPr>
    </w:p>
    <w:p w14:paraId="7579EBFD" w14:textId="77777777" w:rsidR="002E1317" w:rsidRDefault="00000000">
      <w:pPr>
        <w:rPr>
          <w:rFonts w:ascii="Times New Roman"/>
        </w:rPr>
      </w:pPr>
      <w:r>
        <w:rPr>
          <w:rFonts w:ascii="Times New Roman"/>
        </w:rPr>
        <w:br w:type="page"/>
      </w:r>
    </w:p>
    <w:p w14:paraId="615F3D46" w14:textId="77777777" w:rsidR="002E1317" w:rsidRDefault="00000000">
      <w:pPr>
        <w:spacing w:beforeLines="200" w:before="624" w:after="0" w:line="240" w:lineRule="auto"/>
        <w:jc w:val="center"/>
        <w:rPr>
          <w:rFonts w:ascii="Times New Roman" w:eastAsia="黑体" w:hAnsi="Times New Roman"/>
        </w:rPr>
      </w:pPr>
      <w:r>
        <w:rPr>
          <w:rFonts w:ascii="Times New Roman" w:eastAsia="黑体" w:hAnsi="Times New Roman"/>
        </w:rPr>
        <w:lastRenderedPageBreak/>
        <w:t>附录</w:t>
      </w:r>
      <w:r>
        <w:rPr>
          <w:rFonts w:ascii="Times New Roman" w:eastAsia="黑体" w:hAnsi="Times New Roman" w:hint="eastAsia"/>
        </w:rPr>
        <w:t>B</w:t>
      </w:r>
    </w:p>
    <w:p w14:paraId="1DBE83B8" w14:textId="77777777" w:rsidR="002E1317" w:rsidRDefault="00000000">
      <w:pPr>
        <w:spacing w:after="0" w:line="240" w:lineRule="auto"/>
        <w:jc w:val="center"/>
        <w:rPr>
          <w:rFonts w:ascii="Times New Roman" w:eastAsia="黑体" w:hAnsi="Times New Roman"/>
        </w:rPr>
      </w:pPr>
      <w:r>
        <w:rPr>
          <w:rFonts w:ascii="Times New Roman" w:eastAsia="黑体" w:hAnsi="Times New Roman"/>
        </w:rPr>
        <w:t>（资料性附录）</w:t>
      </w:r>
    </w:p>
    <w:p w14:paraId="30CFE2CA" w14:textId="77777777" w:rsidR="002E1317" w:rsidRDefault="00000000">
      <w:pPr>
        <w:widowControl/>
        <w:spacing w:afterLines="100" w:after="312" w:line="360" w:lineRule="auto"/>
        <w:jc w:val="center"/>
        <w:rPr>
          <w:rFonts w:ascii="Times New Roman" w:eastAsia="黑体" w:hAnsi="Times New Roman"/>
          <w:szCs w:val="24"/>
        </w:rPr>
      </w:pPr>
      <w:r>
        <w:rPr>
          <w:rFonts w:ascii="Times New Roman" w:eastAsia="黑体" w:hAnsi="Times New Roman" w:hint="eastAsia"/>
          <w:szCs w:val="24"/>
        </w:rPr>
        <w:t>受污染耕地安全利用率核算</w:t>
      </w:r>
      <w:r>
        <w:rPr>
          <w:rFonts w:ascii="Times New Roman" w:eastAsia="黑体" w:hAnsi="Times New Roman"/>
          <w:szCs w:val="24"/>
        </w:rPr>
        <w:t>案例</w:t>
      </w:r>
    </w:p>
    <w:p w14:paraId="323C3B05" w14:textId="77777777" w:rsidR="002E1317" w:rsidRDefault="00000000">
      <w:pPr>
        <w:pStyle w:val="ac"/>
        <w:spacing w:after="0" w:line="240" w:lineRule="auto"/>
        <w:ind w:firstLineChars="0" w:firstLine="0"/>
        <w:rPr>
          <w:rFonts w:ascii="Times New Roman" w:eastAsia="黑体"/>
        </w:rPr>
      </w:pPr>
      <w:r>
        <w:rPr>
          <w:rFonts w:ascii="Times New Roman" w:hint="eastAsia"/>
        </w:rPr>
        <w:t>B</w:t>
      </w:r>
      <w:r>
        <w:rPr>
          <w:rFonts w:ascii="Times New Roman"/>
        </w:rPr>
        <w:t xml:space="preserve">.1  </w:t>
      </w:r>
      <w:r>
        <w:rPr>
          <w:rFonts w:ascii="黑体" w:eastAsia="黑体" w:hAnsi="黑体" w:cs="黑体" w:hint="eastAsia"/>
        </w:rPr>
        <w:t>面积核算</w:t>
      </w:r>
    </w:p>
    <w:p w14:paraId="4BB10E46" w14:textId="77777777" w:rsidR="002E1317" w:rsidRDefault="00000000">
      <w:pPr>
        <w:pStyle w:val="ac"/>
        <w:spacing w:after="0" w:line="240" w:lineRule="auto"/>
        <w:rPr>
          <w:rFonts w:ascii="Times New Roman" w:eastAsiaTheme="minorEastAsia"/>
        </w:rPr>
      </w:pPr>
      <w:r>
        <w:rPr>
          <w:rFonts w:ascii="Times New Roman" w:eastAsiaTheme="minorEastAsia" w:hint="eastAsia"/>
        </w:rPr>
        <w:t>某省</w:t>
      </w:r>
      <w:r>
        <w:rPr>
          <w:rFonts w:ascii="Times New Roman" w:eastAsiaTheme="minorEastAsia"/>
        </w:rPr>
        <w:t>受污染耕地面积</w:t>
      </w:r>
      <w:r>
        <w:rPr>
          <w:rFonts w:ascii="Times New Roman" w:eastAsiaTheme="minorEastAsia" w:hint="eastAsia"/>
        </w:rPr>
        <w:t>5</w:t>
      </w:r>
      <w:r>
        <w:rPr>
          <w:rFonts w:ascii="Times New Roman" w:eastAsiaTheme="minorEastAsia"/>
        </w:rPr>
        <w:t>万公顷</w:t>
      </w:r>
      <w:r>
        <w:rPr>
          <w:rFonts w:ascii="Times New Roman" w:eastAsiaTheme="minorEastAsia" w:hint="eastAsia"/>
        </w:rPr>
        <w:t>（</w:t>
      </w:r>
      <w:r>
        <w:rPr>
          <w:rFonts w:ascii="Times New Roman" w:eastAsiaTheme="minorEastAsia" w:hint="eastAsia"/>
        </w:rPr>
        <w:t>C</w:t>
      </w:r>
      <w:r>
        <w:rPr>
          <w:rFonts w:ascii="Times New Roman" w:eastAsiaTheme="minorEastAsia" w:hint="eastAsia"/>
        </w:rPr>
        <w:t>类面积）</w:t>
      </w:r>
      <w:r>
        <w:rPr>
          <w:rFonts w:ascii="Times New Roman" w:eastAsiaTheme="minorEastAsia"/>
        </w:rPr>
        <w:t>，</w:t>
      </w:r>
      <w:r>
        <w:rPr>
          <w:rFonts w:ascii="Times New Roman" w:eastAsiaTheme="minorEastAsia" w:hint="eastAsia"/>
        </w:rPr>
        <w:t>其中，</w:t>
      </w:r>
      <w:r>
        <w:rPr>
          <w:rFonts w:ascii="Times New Roman" w:eastAsiaTheme="minorEastAsia"/>
        </w:rPr>
        <w:t>种植食用类农产品的安全利用类耕地与严格管控类耕地面积为</w:t>
      </w:r>
      <w:r>
        <w:rPr>
          <w:rFonts w:ascii="Times New Roman" w:eastAsiaTheme="minorEastAsia" w:hint="eastAsia"/>
        </w:rPr>
        <w:t>4.5</w:t>
      </w:r>
      <w:r>
        <w:rPr>
          <w:rFonts w:ascii="Times New Roman" w:eastAsiaTheme="minorEastAsia"/>
        </w:rPr>
        <w:t>万公顷（</w:t>
      </w:r>
      <w:r>
        <w:rPr>
          <w:rFonts w:ascii="Times New Roman" w:eastAsiaTheme="minorEastAsia"/>
        </w:rPr>
        <w:t>A</w:t>
      </w:r>
      <w:r>
        <w:rPr>
          <w:rFonts w:ascii="Times New Roman" w:eastAsiaTheme="minorEastAsia"/>
        </w:rPr>
        <w:t>类面积）</w:t>
      </w:r>
      <w:r>
        <w:rPr>
          <w:rFonts w:ascii="Times New Roman" w:eastAsiaTheme="minorEastAsia" w:hint="eastAsia"/>
        </w:rPr>
        <w:t>，</w:t>
      </w:r>
      <w:r>
        <w:rPr>
          <w:rFonts w:ascii="Times New Roman" w:eastAsiaTheme="minorEastAsia"/>
        </w:rPr>
        <w:t>种植非食用类农产品，以及退耕还林还草的安全利用类耕地与严格管控类耕地面积为</w:t>
      </w:r>
      <w:r>
        <w:rPr>
          <w:rFonts w:ascii="Times New Roman" w:eastAsiaTheme="minorEastAsia" w:hint="eastAsia"/>
        </w:rPr>
        <w:t>0.5</w:t>
      </w:r>
      <w:r>
        <w:rPr>
          <w:rFonts w:ascii="Times New Roman" w:eastAsiaTheme="minorEastAsia"/>
        </w:rPr>
        <w:t>万公顷（</w:t>
      </w:r>
      <w:r>
        <w:rPr>
          <w:rFonts w:ascii="Times New Roman" w:eastAsiaTheme="minorEastAsia" w:hint="eastAsia"/>
        </w:rPr>
        <w:t>B</w:t>
      </w:r>
      <w:r>
        <w:rPr>
          <w:rFonts w:ascii="Times New Roman" w:eastAsiaTheme="minorEastAsia"/>
        </w:rPr>
        <w:t>类面积）。</w:t>
      </w:r>
    </w:p>
    <w:p w14:paraId="627D7D00" w14:textId="77777777" w:rsidR="002E1317" w:rsidRDefault="00000000">
      <w:pPr>
        <w:pStyle w:val="ac"/>
        <w:spacing w:after="0" w:line="240" w:lineRule="auto"/>
        <w:ind w:firstLineChars="0" w:firstLine="0"/>
        <w:rPr>
          <w:rFonts w:ascii="Times New Roman" w:eastAsia="黑体"/>
        </w:rPr>
      </w:pPr>
      <w:r>
        <w:rPr>
          <w:rFonts w:ascii="Times New Roman" w:eastAsia="黑体" w:hint="eastAsia"/>
        </w:rPr>
        <w:t>B</w:t>
      </w:r>
      <w:r>
        <w:rPr>
          <w:rFonts w:ascii="Times New Roman" w:eastAsia="黑体"/>
        </w:rPr>
        <w:t xml:space="preserve">.2  </w:t>
      </w:r>
      <w:r>
        <w:rPr>
          <w:rFonts w:ascii="Times New Roman" w:eastAsia="黑体"/>
        </w:rPr>
        <w:t>食用农产品达标率</w:t>
      </w:r>
    </w:p>
    <w:p w14:paraId="03316695" w14:textId="77777777" w:rsidR="002E1317" w:rsidRDefault="00000000">
      <w:pPr>
        <w:pStyle w:val="ac"/>
        <w:spacing w:after="0" w:line="240" w:lineRule="auto"/>
        <w:rPr>
          <w:rFonts w:ascii="Times New Roman" w:eastAsiaTheme="minorEastAsia"/>
        </w:rPr>
      </w:pPr>
      <w:r>
        <w:rPr>
          <w:rFonts w:ascii="Times New Roman" w:eastAsiaTheme="minorEastAsia" w:hint="eastAsia"/>
        </w:rPr>
        <w:t>根据监测评价流程，按照</w:t>
      </w:r>
      <w:r>
        <w:rPr>
          <w:rFonts w:ascii="Times New Roman" w:eastAsiaTheme="minorEastAsia" w:hint="eastAsia"/>
        </w:rPr>
        <w:t>10 hm</w:t>
      </w:r>
      <w:r>
        <w:rPr>
          <w:rFonts w:ascii="Times New Roman" w:eastAsiaTheme="minorEastAsia" w:hint="eastAsia"/>
          <w:vertAlign w:val="superscript"/>
        </w:rPr>
        <w:t>2</w:t>
      </w:r>
      <w:r>
        <w:rPr>
          <w:rFonts w:ascii="Times New Roman" w:eastAsiaTheme="minorEastAsia" w:hint="eastAsia"/>
        </w:rPr>
        <w:t>/</w:t>
      </w:r>
      <w:r>
        <w:rPr>
          <w:rFonts w:ascii="Times New Roman" w:eastAsiaTheme="minorEastAsia" w:hint="eastAsia"/>
        </w:rPr>
        <w:t>点的密度，在</w:t>
      </w:r>
      <w:r>
        <w:rPr>
          <w:rFonts w:ascii="Times New Roman" w:eastAsiaTheme="minorEastAsia" w:hint="eastAsia"/>
        </w:rPr>
        <w:t>A</w:t>
      </w:r>
      <w:r>
        <w:rPr>
          <w:rFonts w:ascii="Times New Roman" w:eastAsiaTheme="minorEastAsia" w:hint="eastAsia"/>
        </w:rPr>
        <w:t>类面积上设置了</w:t>
      </w:r>
      <w:r>
        <w:rPr>
          <w:rFonts w:ascii="Times New Roman" w:eastAsiaTheme="minorEastAsia" w:hint="eastAsia"/>
        </w:rPr>
        <w:t>4500</w:t>
      </w:r>
      <w:r>
        <w:rPr>
          <w:rFonts w:ascii="Times New Roman" w:eastAsiaTheme="minorEastAsia" w:hint="eastAsia"/>
        </w:rPr>
        <w:t>个</w:t>
      </w:r>
      <w:r>
        <w:rPr>
          <w:rFonts w:ascii="Times New Roman" w:eastAsiaTheme="minorEastAsia"/>
        </w:rPr>
        <w:t>监测点位</w:t>
      </w:r>
      <w:r>
        <w:rPr>
          <w:rFonts w:ascii="Times New Roman" w:eastAsiaTheme="minorEastAsia" w:hint="eastAsia"/>
        </w:rPr>
        <w:t>，其中</w:t>
      </w:r>
      <w:r>
        <w:rPr>
          <w:rFonts w:ascii="Times New Roman" w:eastAsiaTheme="minorEastAsia"/>
        </w:rPr>
        <w:t>镉、汞、砷、铅、铬等污染物含量均小于或等于</w:t>
      </w:r>
      <w:r>
        <w:rPr>
          <w:rFonts w:ascii="Times New Roman" w:eastAsiaTheme="minorEastAsia"/>
        </w:rPr>
        <w:t>G</w:t>
      </w:r>
      <w:r>
        <w:rPr>
          <w:rFonts w:ascii="Times New Roman" w:eastAsiaTheme="minorEastAsia" w:hint="eastAsia"/>
        </w:rPr>
        <w:t>B</w:t>
      </w:r>
      <w:r>
        <w:rPr>
          <w:rFonts w:ascii="Times New Roman" w:eastAsiaTheme="minorEastAsia"/>
        </w:rPr>
        <w:t xml:space="preserve"> 2762</w:t>
      </w:r>
      <w:r>
        <w:rPr>
          <w:rFonts w:ascii="Times New Roman" w:eastAsiaTheme="minorEastAsia"/>
        </w:rPr>
        <w:t>限量标准的监测点位数量</w:t>
      </w:r>
      <w:r>
        <w:rPr>
          <w:rFonts w:ascii="Times New Roman" w:eastAsiaTheme="minorEastAsia" w:hint="eastAsia"/>
        </w:rPr>
        <w:t>为</w:t>
      </w:r>
      <w:r>
        <w:rPr>
          <w:rFonts w:ascii="Times New Roman" w:eastAsiaTheme="minorEastAsia" w:hint="eastAsia"/>
        </w:rPr>
        <w:t>4200</w:t>
      </w:r>
      <w:r>
        <w:rPr>
          <w:rFonts w:ascii="Times New Roman" w:eastAsiaTheme="minorEastAsia" w:hint="eastAsia"/>
        </w:rPr>
        <w:t>个，则食用农产品达标率为：</w:t>
      </w:r>
    </w:p>
    <w:p w14:paraId="19392617" w14:textId="77777777" w:rsidR="002E1317" w:rsidRDefault="00000000">
      <w:pPr>
        <w:pStyle w:val="ac"/>
        <w:spacing w:beforeLines="50" w:before="156" w:afterLines="50" w:after="156" w:line="240" w:lineRule="auto"/>
        <w:rPr>
          <w:rFonts w:ascii="Times New Roman" w:eastAsiaTheme="minorEastAsia"/>
        </w:rPr>
      </w:pPr>
      <m:oMathPara>
        <m:oMath>
          <m:f>
            <m:fPr>
              <m:ctrlPr>
                <w:rPr>
                  <w:rFonts w:ascii="Cambria Math" w:hAnsi="Cambria Math"/>
                  <w:szCs w:val="21"/>
                </w:rPr>
              </m:ctrlPr>
            </m:fPr>
            <m:num>
              <m:r>
                <m:rPr>
                  <m:sty m:val="p"/>
                </m:rPr>
                <w:rPr>
                  <w:rFonts w:ascii="Cambria Math" w:hAnsi="Cambria Math"/>
                  <w:szCs w:val="21"/>
                </w:rPr>
                <m:t>4200</m:t>
              </m:r>
            </m:num>
            <m:den>
              <m:r>
                <m:rPr>
                  <m:sty m:val="p"/>
                </m:rPr>
                <w:rPr>
                  <w:rFonts w:ascii="Cambria Math" w:hAnsi="Cambria Math"/>
                  <w:szCs w:val="21"/>
                </w:rPr>
                <m:t>4500</m:t>
              </m:r>
            </m:den>
          </m:f>
          <m:r>
            <w:rPr>
              <w:rFonts w:ascii="Cambria Math" w:hAnsi="Cambria Math"/>
              <w:szCs w:val="21"/>
            </w:rPr>
            <m:t>×100%</m:t>
          </m:r>
          <m:r>
            <w:rPr>
              <w:rFonts w:ascii="DejaVu Math TeX Gyre" w:hAnsi="DejaVu Math TeX Gyre" w:hint="eastAsia"/>
              <w:szCs w:val="21"/>
            </w:rPr>
            <m:t>=</m:t>
          </m:r>
          <m:r>
            <w:rPr>
              <w:rFonts w:ascii="DejaVu Math TeX Gyre" w:hAnsi="DejaVu Math TeX Gyre"/>
              <w:szCs w:val="21"/>
            </w:rPr>
            <m:t>93.33</m:t>
          </m:r>
          <m:r>
            <w:rPr>
              <w:rFonts w:ascii="DejaVu Math TeX Gyre" w:hAnsi="DejaVu Math TeX Gyre" w:hint="eastAsia"/>
              <w:szCs w:val="21"/>
            </w:rPr>
            <m:t>%</m:t>
          </m:r>
        </m:oMath>
      </m:oMathPara>
    </w:p>
    <w:p w14:paraId="40771088" w14:textId="77777777" w:rsidR="002E1317" w:rsidRDefault="00000000">
      <w:pPr>
        <w:pStyle w:val="ac"/>
        <w:spacing w:after="0" w:line="240" w:lineRule="auto"/>
        <w:ind w:firstLineChars="0" w:firstLine="0"/>
        <w:rPr>
          <w:rFonts w:ascii="Times New Roman" w:eastAsia="黑体"/>
        </w:rPr>
      </w:pPr>
      <w:r>
        <w:rPr>
          <w:rFonts w:ascii="Times New Roman" w:eastAsia="黑体" w:hint="eastAsia"/>
        </w:rPr>
        <w:t>B</w:t>
      </w:r>
      <w:r>
        <w:rPr>
          <w:rFonts w:ascii="Times New Roman" w:eastAsia="黑体"/>
        </w:rPr>
        <w:t xml:space="preserve">.3  </w:t>
      </w:r>
      <w:r>
        <w:rPr>
          <w:rFonts w:ascii="Times New Roman" w:eastAsia="黑体"/>
        </w:rPr>
        <w:t>受污染耕地安全利用率核算</w:t>
      </w:r>
    </w:p>
    <w:p w14:paraId="32C20986" w14:textId="77777777" w:rsidR="002E1317" w:rsidRDefault="00000000">
      <w:pPr>
        <w:pStyle w:val="ac"/>
        <w:spacing w:after="0" w:line="240" w:lineRule="auto"/>
        <w:rPr>
          <w:rFonts w:ascii="Times New Roman" w:eastAsiaTheme="minorEastAsia"/>
        </w:rPr>
      </w:pPr>
      <w:r>
        <w:rPr>
          <w:rFonts w:ascii="Times New Roman" w:eastAsiaTheme="minorEastAsia"/>
        </w:rPr>
        <w:t>结合</w:t>
      </w:r>
      <w:r>
        <w:rPr>
          <w:rFonts w:ascii="Times New Roman" w:eastAsiaTheme="minorEastAsia" w:hint="eastAsia"/>
        </w:rPr>
        <w:t>B</w:t>
      </w:r>
      <w:r>
        <w:rPr>
          <w:rFonts w:ascii="Times New Roman" w:eastAsiaTheme="minorEastAsia"/>
        </w:rPr>
        <w:t>.1</w:t>
      </w:r>
      <w:r>
        <w:rPr>
          <w:rFonts w:ascii="Times New Roman" w:eastAsiaTheme="minorEastAsia"/>
        </w:rPr>
        <w:t>和</w:t>
      </w:r>
      <w:r>
        <w:rPr>
          <w:rFonts w:ascii="Times New Roman" w:eastAsiaTheme="minorEastAsia" w:hint="eastAsia"/>
        </w:rPr>
        <w:t>B</w:t>
      </w:r>
      <w:r>
        <w:rPr>
          <w:rFonts w:ascii="Times New Roman" w:eastAsiaTheme="minorEastAsia"/>
        </w:rPr>
        <w:t>.2</w:t>
      </w:r>
      <w:r>
        <w:rPr>
          <w:rFonts w:ascii="Times New Roman" w:eastAsiaTheme="minorEastAsia" w:hint="eastAsia"/>
        </w:rPr>
        <w:t>，该省受污染耕地安全利用率为：</w:t>
      </w:r>
    </w:p>
    <w:p w14:paraId="58F42488" w14:textId="77777777" w:rsidR="002E1317" w:rsidRDefault="00000000">
      <w:pPr>
        <w:pStyle w:val="ac"/>
        <w:spacing w:beforeLines="50" w:before="156" w:afterLines="50" w:after="156" w:line="240" w:lineRule="auto"/>
        <w:ind w:firstLineChars="0" w:firstLine="0"/>
        <w:rPr>
          <w:rFonts w:ascii="Times New Roman"/>
        </w:rPr>
      </w:pPr>
      <m:oMathPara>
        <m:oMath>
          <m:f>
            <m:fPr>
              <m:ctrlPr>
                <w:rPr>
                  <w:rFonts w:ascii="Cambria Math" w:hAnsi="Cambria Math"/>
                  <w:szCs w:val="21"/>
                </w:rPr>
              </m:ctrlPr>
            </m:fPr>
            <m:num>
              <m:r>
                <m:rPr>
                  <m:sty m:val="p"/>
                </m:rPr>
                <w:rPr>
                  <w:rFonts w:ascii="DejaVu Math TeX Gyre" w:hAnsi="DejaVu Math TeX Gyre"/>
                  <w:szCs w:val="21"/>
                </w:rPr>
                <m:t>45000</m:t>
              </m:r>
              <m:r>
                <m:rPr>
                  <m:sty m:val="p"/>
                </m:rPr>
                <w:rPr>
                  <w:rFonts w:ascii="Cambria Math" w:hAnsi="Cambria Math"/>
                  <w:szCs w:val="21"/>
                </w:rPr>
                <m:t>×</m:t>
              </m:r>
              <m:r>
                <m:rPr>
                  <m:sty m:val="p"/>
                </m:rPr>
                <w:rPr>
                  <w:rFonts w:ascii="DejaVu Math TeX Gyre" w:hAnsi="DejaVu Math TeX Gyre" w:hint="eastAsia"/>
                  <w:szCs w:val="21"/>
                </w:rPr>
                <m:t>9</m:t>
              </m:r>
              <m:r>
                <m:rPr>
                  <m:sty m:val="p"/>
                </m:rPr>
                <w:rPr>
                  <w:rFonts w:ascii="DejaVu Math TeX Gyre" w:hAnsi="DejaVu Math TeX Gyre"/>
                  <w:szCs w:val="21"/>
                </w:rPr>
                <m:t>3.33</m:t>
              </m:r>
              <m:r>
                <m:rPr>
                  <m:sty m:val="p"/>
                </m:rPr>
                <w:rPr>
                  <w:rFonts w:ascii="DejaVu Math TeX Gyre" w:hAnsi="DejaVu Math TeX Gyre" w:hint="eastAsia"/>
                  <w:szCs w:val="21"/>
                </w:rPr>
                <m:t>%</m:t>
              </m:r>
              <m:r>
                <m:rPr>
                  <m:sty m:val="p"/>
                </m:rPr>
                <w:rPr>
                  <w:rFonts w:ascii="Cambria Math" w:hAnsi="Cambria Math"/>
                  <w:szCs w:val="21"/>
                </w:rPr>
                <m:t>+</m:t>
              </m:r>
              <m:r>
                <m:rPr>
                  <m:sty m:val="p"/>
                </m:rPr>
                <w:rPr>
                  <w:rFonts w:ascii="DejaVu Math TeX Gyre" w:hAnsi="DejaVu Math TeX Gyre"/>
                  <w:szCs w:val="21"/>
                </w:rPr>
                <m:t>5000</m:t>
              </m:r>
            </m:num>
            <m:den>
              <m:r>
                <m:rPr>
                  <m:sty m:val="p"/>
                </m:rPr>
                <w:rPr>
                  <w:rFonts w:ascii="DejaVu Math TeX Gyre" w:hAnsi="DejaVu Math TeX Gyre" w:hint="eastAsia"/>
                  <w:szCs w:val="21"/>
                </w:rPr>
                <m:t>50000</m:t>
              </m:r>
            </m:den>
          </m:f>
          <m:r>
            <w:rPr>
              <w:rFonts w:ascii="Cambria Math" w:hAnsi="Cambria Math"/>
              <w:szCs w:val="21"/>
            </w:rPr>
            <m:t>×100%</m:t>
          </m:r>
          <m:r>
            <w:rPr>
              <w:rFonts w:ascii="DejaVu Math TeX Gyre" w:hAnsi="DejaVu Math TeX Gyre" w:hint="eastAsia"/>
              <w:szCs w:val="21"/>
            </w:rPr>
            <m:t>=</m:t>
          </m:r>
          <m:r>
            <w:rPr>
              <w:rFonts w:ascii="DejaVu Math TeX Gyre" w:hAnsi="DejaVu Math TeX Gyre"/>
              <w:szCs w:val="21"/>
            </w:rPr>
            <m:t>94</m:t>
          </m:r>
          <m:r>
            <w:rPr>
              <w:rFonts w:ascii="DejaVu Math TeX Gyre" w:hAnsi="DejaVu Math TeX Gyre" w:hint="eastAsia"/>
              <w:szCs w:val="21"/>
            </w:rPr>
            <m:t>%</m:t>
          </m:r>
        </m:oMath>
      </m:oMathPara>
    </w:p>
    <w:p w14:paraId="292A60DB" w14:textId="77777777" w:rsidR="002E1317" w:rsidRDefault="002E1317">
      <w:pPr>
        <w:pStyle w:val="ac"/>
        <w:spacing w:after="0" w:line="240" w:lineRule="auto"/>
        <w:rPr>
          <w:rFonts w:ascii="Times New Roman"/>
        </w:rPr>
        <w:sectPr w:rsidR="002E1317">
          <w:headerReference w:type="default" r:id="rId11"/>
          <w:footerReference w:type="default" r:id="rId12"/>
          <w:pgSz w:w="11906" w:h="16838"/>
          <w:pgMar w:top="1440" w:right="1800" w:bottom="1440" w:left="1800" w:header="851" w:footer="992" w:gutter="0"/>
          <w:pgNumType w:start="1"/>
          <w:cols w:space="720"/>
          <w:docGrid w:type="lines" w:linePitch="312"/>
        </w:sectPr>
      </w:pPr>
    </w:p>
    <w:p w14:paraId="59D2772A" w14:textId="77777777" w:rsidR="002E1317" w:rsidRDefault="00000000">
      <w:pPr>
        <w:spacing w:beforeLines="200" w:before="624" w:after="0" w:line="240" w:lineRule="auto"/>
        <w:jc w:val="center"/>
        <w:rPr>
          <w:rFonts w:ascii="Times New Roman" w:eastAsia="黑体" w:hAnsi="Times New Roman"/>
        </w:rPr>
      </w:pPr>
      <w:r>
        <w:rPr>
          <w:rFonts w:ascii="Times New Roman" w:eastAsia="黑体" w:hAnsi="Times New Roman"/>
        </w:rPr>
        <w:lastRenderedPageBreak/>
        <w:t>附录</w:t>
      </w:r>
      <w:r>
        <w:rPr>
          <w:rFonts w:ascii="Times New Roman" w:eastAsia="黑体" w:hAnsi="Times New Roman" w:hint="eastAsia"/>
        </w:rPr>
        <w:t>C</w:t>
      </w:r>
    </w:p>
    <w:p w14:paraId="7A327CA4" w14:textId="77777777" w:rsidR="002E1317" w:rsidRDefault="00000000">
      <w:pPr>
        <w:spacing w:after="0" w:line="240" w:lineRule="auto"/>
        <w:jc w:val="center"/>
        <w:rPr>
          <w:rFonts w:ascii="Times New Roman" w:eastAsia="黑体" w:hAnsi="Times New Roman"/>
        </w:rPr>
      </w:pPr>
      <w:r>
        <w:rPr>
          <w:rFonts w:ascii="Times New Roman" w:eastAsia="黑体" w:hAnsi="Times New Roman"/>
        </w:rPr>
        <w:t>（资料性附录）</w:t>
      </w:r>
    </w:p>
    <w:p w14:paraId="7DE49F7A" w14:textId="77777777" w:rsidR="002E1317" w:rsidRDefault="00000000">
      <w:pPr>
        <w:widowControl/>
        <w:spacing w:afterLines="100" w:after="312" w:line="360" w:lineRule="auto"/>
        <w:jc w:val="center"/>
        <w:rPr>
          <w:rFonts w:ascii="黑体" w:eastAsia="黑体" w:hAnsi="黑体" w:cs="黑体" w:hint="eastAsia"/>
          <w:szCs w:val="24"/>
        </w:rPr>
      </w:pPr>
      <w:r>
        <w:rPr>
          <w:rFonts w:ascii="黑体" w:eastAsia="黑体" w:hAnsi="黑体" w:cs="黑体"/>
          <w:szCs w:val="24"/>
        </w:rPr>
        <w:t>受污染耕地安全利用率监测评价报告</w:t>
      </w:r>
    </w:p>
    <w:p w14:paraId="46C70DEC" w14:textId="77777777" w:rsidR="002E1317" w:rsidRDefault="00000000">
      <w:pPr>
        <w:spacing w:after="0" w:line="240" w:lineRule="auto"/>
        <w:rPr>
          <w:rFonts w:ascii="Times New Roman" w:eastAsia="黑体" w:hAnsi="Times New Roman"/>
        </w:rPr>
      </w:pPr>
      <w:r>
        <w:rPr>
          <w:rFonts w:ascii="Times New Roman" w:eastAsia="黑体" w:hAnsi="Times New Roman" w:hint="eastAsia"/>
        </w:rPr>
        <w:t>C</w:t>
      </w:r>
      <w:r>
        <w:rPr>
          <w:rFonts w:ascii="Times New Roman" w:eastAsia="黑体" w:hAnsi="Times New Roman"/>
        </w:rPr>
        <w:t xml:space="preserve">.1  </w:t>
      </w:r>
      <w:r>
        <w:rPr>
          <w:rFonts w:ascii="Times New Roman" w:eastAsia="黑体" w:hAnsi="Times New Roman"/>
        </w:rPr>
        <w:t>概述</w:t>
      </w:r>
    </w:p>
    <w:p w14:paraId="5D6DE149" w14:textId="77777777" w:rsidR="002E1317" w:rsidRDefault="00000000">
      <w:pPr>
        <w:pStyle w:val="ac"/>
        <w:spacing w:after="0" w:line="240" w:lineRule="auto"/>
        <w:rPr>
          <w:rFonts w:ascii="Times New Roman"/>
        </w:rPr>
      </w:pPr>
      <w:r>
        <w:rPr>
          <w:rFonts w:ascii="Times New Roman" w:eastAsia="黑体" w:hint="eastAsia"/>
        </w:rPr>
        <w:t>C</w:t>
      </w:r>
      <w:r>
        <w:rPr>
          <w:rFonts w:ascii="Times New Roman" w:eastAsia="黑体"/>
        </w:rPr>
        <w:t>.1.1</w:t>
      </w:r>
      <w:r>
        <w:rPr>
          <w:rFonts w:ascii="Times New Roman"/>
        </w:rPr>
        <w:t xml:space="preserve">  </w:t>
      </w:r>
      <w:r>
        <w:rPr>
          <w:rFonts w:ascii="Times New Roman"/>
        </w:rPr>
        <w:t>目的和意义</w:t>
      </w:r>
    </w:p>
    <w:p w14:paraId="5B68A375" w14:textId="77777777" w:rsidR="002E1317" w:rsidRDefault="00000000">
      <w:pPr>
        <w:pStyle w:val="ac"/>
        <w:spacing w:after="0" w:line="240" w:lineRule="auto"/>
        <w:rPr>
          <w:rFonts w:ascii="Times New Roman"/>
        </w:rPr>
      </w:pPr>
      <w:r>
        <w:rPr>
          <w:rFonts w:ascii="Times New Roman" w:eastAsia="黑体" w:hint="eastAsia"/>
        </w:rPr>
        <w:t>C</w:t>
      </w:r>
      <w:r>
        <w:rPr>
          <w:rFonts w:ascii="Times New Roman" w:eastAsia="黑体"/>
        </w:rPr>
        <w:t>.1.2</w:t>
      </w:r>
      <w:r>
        <w:rPr>
          <w:rFonts w:ascii="Times New Roman"/>
        </w:rPr>
        <w:t xml:space="preserve">  </w:t>
      </w:r>
      <w:r>
        <w:rPr>
          <w:rFonts w:ascii="Times New Roman"/>
        </w:rPr>
        <w:t>监测评价区域概况（地理区位、地质地貌、水文概况、农业生产情况、耕地分布情况、耕地土壤环境质量类别划分与动态调整情况</w:t>
      </w:r>
      <w:r>
        <w:rPr>
          <w:rFonts w:ascii="Times New Roman" w:hint="eastAsia"/>
        </w:rPr>
        <w:t>、受污染耕地安全利用情况等</w:t>
      </w:r>
      <w:r>
        <w:rPr>
          <w:rFonts w:ascii="Times New Roman"/>
        </w:rPr>
        <w:t>）</w:t>
      </w:r>
    </w:p>
    <w:p w14:paraId="58539598" w14:textId="77777777" w:rsidR="002E1317" w:rsidRDefault="00000000">
      <w:pPr>
        <w:pStyle w:val="ac"/>
        <w:spacing w:after="0" w:line="240" w:lineRule="auto"/>
        <w:ind w:firstLineChars="0" w:firstLine="0"/>
        <w:rPr>
          <w:rFonts w:ascii="Times New Roman" w:eastAsia="黑体"/>
        </w:rPr>
      </w:pPr>
      <w:r>
        <w:rPr>
          <w:rFonts w:ascii="Times New Roman" w:eastAsia="黑体" w:hint="eastAsia"/>
        </w:rPr>
        <w:t>C</w:t>
      </w:r>
      <w:r>
        <w:rPr>
          <w:rFonts w:ascii="Times New Roman" w:eastAsia="黑体"/>
        </w:rPr>
        <w:t xml:space="preserve">.2  </w:t>
      </w:r>
      <w:r>
        <w:rPr>
          <w:rFonts w:ascii="Times New Roman" w:eastAsia="黑体" w:hint="eastAsia"/>
        </w:rPr>
        <w:t>编制</w:t>
      </w:r>
      <w:r>
        <w:rPr>
          <w:rFonts w:ascii="Times New Roman" w:eastAsia="黑体"/>
        </w:rPr>
        <w:t>依据</w:t>
      </w:r>
    </w:p>
    <w:p w14:paraId="199EDD1C" w14:textId="77777777" w:rsidR="002E1317" w:rsidRDefault="00000000">
      <w:pPr>
        <w:pStyle w:val="ac"/>
        <w:spacing w:after="0" w:line="240" w:lineRule="auto"/>
        <w:rPr>
          <w:rFonts w:ascii="Times New Roman"/>
        </w:rPr>
      </w:pPr>
      <w:r>
        <w:rPr>
          <w:rFonts w:ascii="Times New Roman"/>
        </w:rPr>
        <w:t>包括国家和地方相关法律法规、政策文件、标准规范等。</w:t>
      </w:r>
    </w:p>
    <w:p w14:paraId="7E953C6E" w14:textId="77777777" w:rsidR="002E1317" w:rsidRDefault="00000000">
      <w:pPr>
        <w:pStyle w:val="ac"/>
        <w:spacing w:after="0" w:line="240" w:lineRule="auto"/>
        <w:ind w:firstLineChars="0" w:firstLine="0"/>
        <w:rPr>
          <w:rFonts w:ascii="Times New Roman" w:eastAsia="黑体"/>
        </w:rPr>
      </w:pPr>
      <w:r>
        <w:rPr>
          <w:rFonts w:ascii="Times New Roman" w:eastAsia="黑体" w:hint="eastAsia"/>
        </w:rPr>
        <w:t>C</w:t>
      </w:r>
      <w:r>
        <w:rPr>
          <w:rFonts w:ascii="Times New Roman" w:eastAsia="黑体"/>
        </w:rPr>
        <w:t xml:space="preserve">.3  </w:t>
      </w:r>
      <w:r>
        <w:rPr>
          <w:rFonts w:ascii="Times New Roman" w:eastAsia="黑体"/>
        </w:rPr>
        <w:t>监测评价流程</w:t>
      </w:r>
    </w:p>
    <w:p w14:paraId="3E3C502E" w14:textId="77777777" w:rsidR="002E1317" w:rsidRDefault="00000000">
      <w:pPr>
        <w:pStyle w:val="ac"/>
        <w:spacing w:after="0" w:line="240" w:lineRule="auto"/>
        <w:rPr>
          <w:rFonts w:ascii="Times New Roman"/>
        </w:rPr>
      </w:pPr>
      <w:r>
        <w:rPr>
          <w:rFonts w:ascii="Times New Roman" w:eastAsia="黑体" w:hint="eastAsia"/>
        </w:rPr>
        <w:t>C</w:t>
      </w:r>
      <w:r>
        <w:rPr>
          <w:rFonts w:ascii="Times New Roman" w:eastAsia="黑体"/>
        </w:rPr>
        <w:t>.3.1</w:t>
      </w:r>
      <w:r>
        <w:rPr>
          <w:rFonts w:ascii="Times New Roman"/>
        </w:rPr>
        <w:t xml:space="preserve">  </w:t>
      </w:r>
      <w:r>
        <w:rPr>
          <w:rFonts w:ascii="Times New Roman" w:hint="eastAsia"/>
        </w:rPr>
        <w:t>基础资料和数据收集</w:t>
      </w:r>
    </w:p>
    <w:p w14:paraId="2ADCD73E" w14:textId="77777777" w:rsidR="002E1317" w:rsidRDefault="00000000">
      <w:pPr>
        <w:pStyle w:val="ac"/>
        <w:spacing w:after="0" w:line="240" w:lineRule="auto"/>
        <w:rPr>
          <w:rFonts w:ascii="Times New Roman"/>
        </w:rPr>
      </w:pPr>
      <w:r>
        <w:rPr>
          <w:rFonts w:ascii="Times New Roman" w:eastAsia="黑体" w:hint="eastAsia"/>
        </w:rPr>
        <w:t>C</w:t>
      </w:r>
      <w:r>
        <w:rPr>
          <w:rFonts w:ascii="Times New Roman" w:eastAsia="黑体"/>
        </w:rPr>
        <w:t>.3.2</w:t>
      </w:r>
      <w:r>
        <w:rPr>
          <w:rFonts w:ascii="Times New Roman"/>
        </w:rPr>
        <w:t xml:space="preserve">  </w:t>
      </w:r>
      <w:r>
        <w:rPr>
          <w:rFonts w:ascii="Times New Roman" w:hint="eastAsia"/>
        </w:rPr>
        <w:t>监测点位布设与采样检测</w:t>
      </w:r>
    </w:p>
    <w:p w14:paraId="753A39E4" w14:textId="77777777" w:rsidR="002E1317" w:rsidRDefault="00000000">
      <w:pPr>
        <w:pStyle w:val="ac"/>
        <w:spacing w:after="0" w:line="240" w:lineRule="auto"/>
        <w:rPr>
          <w:rFonts w:ascii="Times New Roman"/>
        </w:rPr>
      </w:pPr>
      <w:r>
        <w:rPr>
          <w:rFonts w:ascii="Times New Roman" w:eastAsia="黑体" w:hint="eastAsia"/>
        </w:rPr>
        <w:t>C</w:t>
      </w:r>
      <w:r>
        <w:rPr>
          <w:rFonts w:ascii="Times New Roman" w:eastAsia="黑体"/>
        </w:rPr>
        <w:t>.3.3</w:t>
      </w:r>
      <w:r>
        <w:rPr>
          <w:rFonts w:ascii="Times New Roman"/>
        </w:rPr>
        <w:t xml:space="preserve">  </w:t>
      </w:r>
      <w:r>
        <w:rPr>
          <w:rFonts w:ascii="Times New Roman" w:hint="eastAsia"/>
        </w:rPr>
        <w:t>监测数据分析</w:t>
      </w:r>
    </w:p>
    <w:p w14:paraId="55CBCDE6" w14:textId="77777777" w:rsidR="002E1317" w:rsidRDefault="00000000">
      <w:pPr>
        <w:pStyle w:val="ac"/>
        <w:spacing w:after="0" w:line="240" w:lineRule="auto"/>
        <w:rPr>
          <w:rFonts w:ascii="Times New Roman"/>
        </w:rPr>
      </w:pPr>
      <w:r>
        <w:rPr>
          <w:rFonts w:ascii="Times New Roman" w:eastAsia="黑体" w:hint="eastAsia"/>
        </w:rPr>
        <w:t>C</w:t>
      </w:r>
      <w:r>
        <w:rPr>
          <w:rFonts w:ascii="Times New Roman" w:eastAsia="黑体"/>
        </w:rPr>
        <w:t>.3.4</w:t>
      </w:r>
      <w:r>
        <w:rPr>
          <w:rFonts w:ascii="Times New Roman"/>
        </w:rPr>
        <w:t xml:space="preserve">  </w:t>
      </w:r>
      <w:r>
        <w:rPr>
          <w:rFonts w:ascii="Times New Roman" w:hint="eastAsia"/>
        </w:rPr>
        <w:t>受污染耕地安全利用率核算</w:t>
      </w:r>
    </w:p>
    <w:p w14:paraId="06A6C3F4" w14:textId="77777777" w:rsidR="002E1317" w:rsidRDefault="00000000">
      <w:pPr>
        <w:pStyle w:val="ac"/>
        <w:spacing w:after="0" w:line="240" w:lineRule="auto"/>
        <w:ind w:firstLineChars="0" w:firstLine="0"/>
        <w:rPr>
          <w:rFonts w:ascii="Times New Roman"/>
        </w:rPr>
      </w:pPr>
      <w:r>
        <w:rPr>
          <w:rFonts w:ascii="Times New Roman" w:eastAsia="黑体" w:hint="eastAsia"/>
        </w:rPr>
        <w:t>C</w:t>
      </w:r>
      <w:r>
        <w:rPr>
          <w:rFonts w:ascii="Times New Roman" w:eastAsia="黑体"/>
        </w:rPr>
        <w:t xml:space="preserve">.4  </w:t>
      </w:r>
      <w:r>
        <w:rPr>
          <w:rFonts w:ascii="Times New Roman" w:eastAsia="黑体"/>
        </w:rPr>
        <w:t>结论与建议（</w:t>
      </w:r>
      <w:r>
        <w:rPr>
          <w:rFonts w:ascii="Times New Roman"/>
        </w:rPr>
        <w:t>总结</w:t>
      </w:r>
      <w:r>
        <w:rPr>
          <w:rFonts w:ascii="Times New Roman" w:hint="eastAsia"/>
        </w:rPr>
        <w:t>监测评价区域内受污染耕地</w:t>
      </w:r>
      <w:r>
        <w:rPr>
          <w:rFonts w:ascii="Times New Roman"/>
        </w:rPr>
        <w:t>安全利用率核算情况，提出区域内受污染耕地安全利用与严格管控建议）</w:t>
      </w:r>
    </w:p>
    <w:p w14:paraId="46B8217C" w14:textId="77777777" w:rsidR="002E1317" w:rsidRDefault="00000000">
      <w:pPr>
        <w:pStyle w:val="ac"/>
        <w:spacing w:after="0" w:line="240" w:lineRule="auto"/>
        <w:ind w:firstLineChars="0" w:firstLine="0"/>
        <w:rPr>
          <w:rFonts w:ascii="Times New Roman" w:eastAsia="黑体"/>
        </w:rPr>
      </w:pPr>
      <w:r>
        <w:rPr>
          <w:rFonts w:ascii="Times New Roman" w:eastAsia="黑体"/>
        </w:rPr>
        <w:t>附件</w:t>
      </w:r>
    </w:p>
    <w:p w14:paraId="20E97494" w14:textId="77777777" w:rsidR="002E1317" w:rsidRDefault="00000000">
      <w:pPr>
        <w:pStyle w:val="ac"/>
        <w:spacing w:after="0" w:line="240" w:lineRule="auto"/>
        <w:rPr>
          <w:rFonts w:ascii="Times New Roman"/>
        </w:rPr>
      </w:pPr>
      <w:r>
        <w:rPr>
          <w:rFonts w:ascii="Times New Roman"/>
        </w:rPr>
        <w:t>包括农产品检测分析报告、</w:t>
      </w:r>
      <w:r>
        <w:rPr>
          <w:rFonts w:ascii="Times New Roman" w:hint="eastAsia"/>
        </w:rPr>
        <w:t>受污染耕地安全利用相关工作</w:t>
      </w:r>
      <w:r>
        <w:rPr>
          <w:rFonts w:ascii="Times New Roman"/>
        </w:rPr>
        <w:t>台账、现场照片、</w:t>
      </w:r>
      <w:r>
        <w:rPr>
          <w:rFonts w:ascii="Times New Roman" w:hint="eastAsia"/>
        </w:rPr>
        <w:t>相关</w:t>
      </w:r>
      <w:r>
        <w:rPr>
          <w:rFonts w:ascii="Times New Roman"/>
        </w:rPr>
        <w:t>文件、相关图件等（行政区划图、</w:t>
      </w:r>
      <w:r>
        <w:rPr>
          <w:rFonts w:eastAsiaTheme="minorEastAsia"/>
          <w:szCs w:val="21"/>
        </w:rPr>
        <w:t>环境背景图（地形图、河流水系分布图、土壤类型分布图）、</w:t>
      </w:r>
      <w:r>
        <w:rPr>
          <w:rFonts w:ascii="Times New Roman"/>
        </w:rPr>
        <w:t>耕地分布图、耕地土壤环境质量类别分布图、监测点位图等）。</w:t>
      </w:r>
    </w:p>
    <w:p w14:paraId="372A2623" w14:textId="77777777" w:rsidR="002E1317" w:rsidRDefault="002E1317">
      <w:pPr>
        <w:widowControl/>
        <w:spacing w:afterLines="100" w:after="312" w:line="360" w:lineRule="auto"/>
        <w:jc w:val="center"/>
        <w:rPr>
          <w:rFonts w:ascii="黑体" w:eastAsia="黑体" w:hAnsi="黑体" w:cs="黑体" w:hint="eastAsia"/>
          <w:szCs w:val="24"/>
        </w:rPr>
      </w:pPr>
    </w:p>
    <w:p w14:paraId="6705D46B" w14:textId="77777777" w:rsidR="002E1317" w:rsidRDefault="00000000">
      <w:pPr>
        <w:pStyle w:val="ae"/>
        <w:framePr w:wrap="around"/>
        <w:spacing w:after="0" w:line="240" w:lineRule="auto"/>
        <w:rPr>
          <w:rFonts w:ascii="Times New Roman" w:hAnsi="Times New Roman"/>
        </w:rPr>
      </w:pPr>
      <w:r>
        <w:rPr>
          <w:rFonts w:ascii="Times New Roman" w:hAnsi="Times New Roman"/>
        </w:rPr>
        <w:t>_________________________________</w:t>
      </w:r>
    </w:p>
    <w:p w14:paraId="65B3068D" w14:textId="77777777" w:rsidR="002E1317" w:rsidRDefault="002E1317">
      <w:pPr>
        <w:widowControl/>
        <w:spacing w:after="0" w:line="240" w:lineRule="auto"/>
        <w:rPr>
          <w:rFonts w:ascii="Times New Roman" w:eastAsia="黑体" w:hAnsi="Times New Roman"/>
          <w:color w:val="000000"/>
          <w:kern w:val="0"/>
          <w:sz w:val="32"/>
          <w:szCs w:val="32"/>
        </w:rPr>
      </w:pPr>
    </w:p>
    <w:p w14:paraId="200F4ED4" w14:textId="77777777" w:rsidR="002E1317" w:rsidRDefault="002E1317">
      <w:pPr>
        <w:widowControl/>
        <w:spacing w:after="0" w:line="240" w:lineRule="auto"/>
        <w:rPr>
          <w:rFonts w:ascii="Times New Roman" w:eastAsia="黑体" w:hAnsi="Times New Roman"/>
          <w:color w:val="000000"/>
          <w:kern w:val="0"/>
          <w:sz w:val="32"/>
          <w:szCs w:val="32"/>
        </w:rPr>
      </w:pPr>
    </w:p>
    <w:p w14:paraId="064FDB4F" w14:textId="77777777" w:rsidR="002E1317" w:rsidRDefault="002E1317">
      <w:pPr>
        <w:widowControl/>
        <w:spacing w:after="0" w:line="240" w:lineRule="auto"/>
        <w:rPr>
          <w:rFonts w:ascii="Times New Roman" w:eastAsia="黑体" w:hAnsi="Times New Roman"/>
          <w:color w:val="000000"/>
          <w:kern w:val="0"/>
          <w:sz w:val="32"/>
          <w:szCs w:val="32"/>
        </w:rPr>
      </w:pPr>
    </w:p>
    <w:sectPr w:rsidR="002E13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E9B4" w14:textId="77777777" w:rsidR="008D67A4" w:rsidRDefault="008D67A4">
      <w:pPr>
        <w:spacing w:line="240" w:lineRule="auto"/>
      </w:pPr>
      <w:r>
        <w:separator/>
      </w:r>
    </w:p>
  </w:endnote>
  <w:endnote w:type="continuationSeparator" w:id="0">
    <w:p w14:paraId="7D893F08" w14:textId="77777777" w:rsidR="008D67A4" w:rsidRDefault="008D6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3" w:usb1="08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ACFE" w14:textId="77777777" w:rsidR="002E1317" w:rsidRDefault="002E1317">
    <w:pPr>
      <w:pStyle w:val="a5"/>
      <w:jc w:val="center"/>
    </w:pPr>
  </w:p>
  <w:p w14:paraId="616E49F0" w14:textId="77777777" w:rsidR="002E1317" w:rsidRDefault="002E13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9BC2" w14:textId="77777777" w:rsidR="002E1317" w:rsidRDefault="00000000">
    <w:pPr>
      <w:pStyle w:val="a5"/>
    </w:pPr>
    <w:r>
      <w:rPr>
        <w:noProof/>
      </w:rPr>
      <mc:AlternateContent>
        <mc:Choice Requires="wps">
          <w:drawing>
            <wp:anchor distT="0" distB="0" distL="114300" distR="114300" simplePos="0" relativeHeight="251659264" behindDoc="0" locked="0" layoutInCell="1" allowOverlap="1" wp14:anchorId="2BF7D200" wp14:editId="5D4003F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6BF3D0" w14:textId="77777777" w:rsidR="002E1317" w:rsidRDefault="002E1317"/>
                      </w:txbxContent>
                    </wps:txbx>
                    <wps:bodyPr vert="horz" wrap="none" lIns="0" tIns="0" rIns="0" bIns="0" anchor="t" anchorCtr="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m+mNwBAADAAwAADgAAAGRycy9lMm9Eb2MueG1srVPNjtMwEL4j8Q6W&#10;7zTZaoW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52m+mNwBAADAAwAADgAAAAAAAAAB&#10;ACAAAAAeAQAAZHJzL2Uyb0RvYy54bWxQSwUGAAAAAAYABgBZAQAAbAUAAAAA&#10;">
              <v:fill on="f" focussize="0,0"/>
              <v:stroke on="f"/>
              <v:imagedata o:title=""/>
              <o:lock v:ext="edit" aspectratio="f"/>
              <v:textbox inset="0mm,0mm,0mm,0mm" style="mso-fit-shape-to-text:t;">
                <w:txbxContent>
                  <w:p w14:paraId="122C0DBE"/>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04A1" w14:textId="77777777" w:rsidR="002E1317" w:rsidRDefault="00000000">
    <w:pPr>
      <w:pStyle w:val="a5"/>
      <w:jc w:val="center"/>
    </w:pPr>
    <w:r>
      <w:rPr>
        <w:noProof/>
      </w:rPr>
      <mc:AlternateContent>
        <mc:Choice Requires="wps">
          <w:drawing>
            <wp:anchor distT="0" distB="0" distL="114300" distR="114300" simplePos="0" relativeHeight="251661312" behindDoc="0" locked="0" layoutInCell="1" allowOverlap="1" wp14:anchorId="7BE617BD" wp14:editId="4529A027">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C62BA" w14:textId="77777777" w:rsidR="002E1317" w:rsidRDefault="00000000">
                          <w:pPr>
                            <w:pStyle w:val="a5"/>
                            <w:jc w:val="cen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xmlns:wpsCustomData="http://www.wps.cn/officeDocument/2013/wpsCustomData">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58MIBAACN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nefDCAQAAjQMAAA4AAAAAAAAAAQAgAAAAHgEAAGRycy9lMm9Eb2MueG1sUEsF&#10;BgAAAAAGAAYAWQEAAFIFAAAAAA==&#10;">
              <v:fill on="f" focussize="0,0"/>
              <v:stroke on="f"/>
              <v:imagedata o:title=""/>
              <o:lock v:ext="edit" aspectratio="f"/>
              <v:textbox inset="0mm,0mm,0mm,0mm" style="mso-fit-shape-to-text:t;">
                <w:txbxContent>
                  <w:p w14:paraId="13B506B3">
                    <w:pPr>
                      <w:pStyle w:val="5"/>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12118509" w14:textId="77777777" w:rsidR="002E1317" w:rsidRDefault="002E131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1616" w14:textId="77777777" w:rsidR="002E1317" w:rsidRDefault="00000000">
    <w:pPr>
      <w:pStyle w:val="af0"/>
    </w:pPr>
    <w:r>
      <w:rPr>
        <w:noProof/>
      </w:rPr>
      <mc:AlternateContent>
        <mc:Choice Requires="wps">
          <w:drawing>
            <wp:anchor distT="0" distB="0" distL="114300" distR="114300" simplePos="0" relativeHeight="251660288" behindDoc="0" locked="0" layoutInCell="1" allowOverlap="1" wp14:anchorId="68F1C09F" wp14:editId="1D77866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E121D" w14:textId="77777777" w:rsidR="002E1317" w:rsidRDefault="00000000">
                          <w:pPr>
                            <w:pStyle w:val="a5"/>
                          </w:pPr>
                          <w:r>
                            <w:fldChar w:fldCharType="begin"/>
                          </w:r>
                          <w:r>
                            <w:instrText xml:space="preserve"> PAGE  \* MERGEFORMAT </w:instrText>
                          </w:r>
                          <w:r>
                            <w:fldChar w:fldCharType="separate"/>
                          </w:r>
                          <w:r>
                            <w:t>- 7 -</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Kje9cBAACyAwAADgAAAGRycy9lMm9Eb2MueG1srVPBjtMwEL0j8Q+W&#10;7zTZSou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Xyo3vXAQAAsgMAAA4AAAAAAAAAAQAgAAAA&#10;HgEAAGRycy9lMm9Eb2MueG1sUEsFBgAAAAAGAAYAWQEAAGcFAAAAAA==&#10;">
              <v:fill on="f" focussize="0,0"/>
              <v:stroke on="f"/>
              <v:imagedata o:title=""/>
              <o:lock v:ext="edit" aspectratio="f"/>
              <v:textbox inset="0mm,0mm,0mm,0mm" style="mso-fit-shape-to-text:t;">
                <w:txbxContent>
                  <w:p w14:paraId="70961786">
                    <w:pPr>
                      <w:pStyle w:val="5"/>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C991" w14:textId="77777777" w:rsidR="008D67A4" w:rsidRDefault="008D67A4">
      <w:pPr>
        <w:spacing w:after="0"/>
      </w:pPr>
      <w:r>
        <w:separator/>
      </w:r>
    </w:p>
  </w:footnote>
  <w:footnote w:type="continuationSeparator" w:id="0">
    <w:p w14:paraId="2452CE2F" w14:textId="77777777" w:rsidR="008D67A4" w:rsidRDefault="008D67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85B2" w14:textId="77777777" w:rsidR="002E1317" w:rsidRDefault="00000000">
    <w:pPr>
      <w:pStyle w:val="af"/>
      <w:spacing w:after="0"/>
    </w:pPr>
    <w:r>
      <w:rPr>
        <w:rFonts w:hint="eastAsia"/>
      </w:rPr>
      <w:t>NY/T 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56660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zZWZhZTY1ZWVhMGZjNzU1MzE4MmFhNDViZjBmYjAifQ=="/>
  </w:docVars>
  <w:rsids>
    <w:rsidRoot w:val="263A55D7"/>
    <w:rsid w:val="000066C9"/>
    <w:rsid w:val="000147C8"/>
    <w:rsid w:val="00025E84"/>
    <w:rsid w:val="000428E3"/>
    <w:rsid w:val="00046918"/>
    <w:rsid w:val="000D0DC5"/>
    <w:rsid w:val="000F1010"/>
    <w:rsid w:val="0012371B"/>
    <w:rsid w:val="00126298"/>
    <w:rsid w:val="001774A1"/>
    <w:rsid w:val="00197BBC"/>
    <w:rsid w:val="001A67FF"/>
    <w:rsid w:val="00200268"/>
    <w:rsid w:val="00232FEE"/>
    <w:rsid w:val="00272F85"/>
    <w:rsid w:val="002E0EA9"/>
    <w:rsid w:val="002E1317"/>
    <w:rsid w:val="002E7E3F"/>
    <w:rsid w:val="003A0236"/>
    <w:rsid w:val="004434F2"/>
    <w:rsid w:val="004A7396"/>
    <w:rsid w:val="004B2B9E"/>
    <w:rsid w:val="004B68B0"/>
    <w:rsid w:val="0051012B"/>
    <w:rsid w:val="00514C6E"/>
    <w:rsid w:val="005F3123"/>
    <w:rsid w:val="00623ECB"/>
    <w:rsid w:val="007B7C8F"/>
    <w:rsid w:val="007C5AD4"/>
    <w:rsid w:val="007E3528"/>
    <w:rsid w:val="00895CA7"/>
    <w:rsid w:val="008C69CD"/>
    <w:rsid w:val="008D67A4"/>
    <w:rsid w:val="00964740"/>
    <w:rsid w:val="00970F2F"/>
    <w:rsid w:val="00A209F0"/>
    <w:rsid w:val="00A30B42"/>
    <w:rsid w:val="00A4516A"/>
    <w:rsid w:val="00A76972"/>
    <w:rsid w:val="00A91083"/>
    <w:rsid w:val="00B04D61"/>
    <w:rsid w:val="00B549BB"/>
    <w:rsid w:val="00C47375"/>
    <w:rsid w:val="00C668D4"/>
    <w:rsid w:val="00C732DE"/>
    <w:rsid w:val="00D07028"/>
    <w:rsid w:val="00D31863"/>
    <w:rsid w:val="00D61D3F"/>
    <w:rsid w:val="00DC098C"/>
    <w:rsid w:val="00DC68D6"/>
    <w:rsid w:val="00E7120E"/>
    <w:rsid w:val="00E93ED1"/>
    <w:rsid w:val="00ED6F04"/>
    <w:rsid w:val="04B07DD9"/>
    <w:rsid w:val="07764119"/>
    <w:rsid w:val="0A3F4E1F"/>
    <w:rsid w:val="0B8E1C76"/>
    <w:rsid w:val="0EDF1282"/>
    <w:rsid w:val="12287AFC"/>
    <w:rsid w:val="14F6ABBA"/>
    <w:rsid w:val="17B28D78"/>
    <w:rsid w:val="17DE73CD"/>
    <w:rsid w:val="17F33FD6"/>
    <w:rsid w:val="1AB33062"/>
    <w:rsid w:val="1C662FDF"/>
    <w:rsid w:val="1EFD7A0B"/>
    <w:rsid w:val="1F7FDBC2"/>
    <w:rsid w:val="1FBE6BBB"/>
    <w:rsid w:val="1FC33FD3"/>
    <w:rsid w:val="1FD7073D"/>
    <w:rsid w:val="1FDE3E98"/>
    <w:rsid w:val="1FDF96F0"/>
    <w:rsid w:val="263A55D7"/>
    <w:rsid w:val="27DC8B81"/>
    <w:rsid w:val="28FA70CC"/>
    <w:rsid w:val="29216576"/>
    <w:rsid w:val="2B4F7546"/>
    <w:rsid w:val="2F6E66AB"/>
    <w:rsid w:val="2F7FCC34"/>
    <w:rsid w:val="2F9F84E7"/>
    <w:rsid w:val="2FD70823"/>
    <w:rsid w:val="2FE76029"/>
    <w:rsid w:val="32FFDE22"/>
    <w:rsid w:val="35B3097E"/>
    <w:rsid w:val="36FCBC2C"/>
    <w:rsid w:val="36FDD628"/>
    <w:rsid w:val="36FE6F8D"/>
    <w:rsid w:val="37BE5581"/>
    <w:rsid w:val="37D2D17C"/>
    <w:rsid w:val="37F622F0"/>
    <w:rsid w:val="37FC9BEB"/>
    <w:rsid w:val="37FF5A50"/>
    <w:rsid w:val="38E7AD84"/>
    <w:rsid w:val="392F1232"/>
    <w:rsid w:val="39CD88E3"/>
    <w:rsid w:val="39FE86E6"/>
    <w:rsid w:val="3B47159D"/>
    <w:rsid w:val="3D6F9E62"/>
    <w:rsid w:val="3D75C256"/>
    <w:rsid w:val="3DEFA2A7"/>
    <w:rsid w:val="3DFF223C"/>
    <w:rsid w:val="3E3AFF42"/>
    <w:rsid w:val="3EFB14A5"/>
    <w:rsid w:val="3F3EFA3A"/>
    <w:rsid w:val="3F47465E"/>
    <w:rsid w:val="3F7F05A3"/>
    <w:rsid w:val="3FBFAD73"/>
    <w:rsid w:val="3FDFDDAB"/>
    <w:rsid w:val="3FE54D1F"/>
    <w:rsid w:val="3FEFA628"/>
    <w:rsid w:val="44F55F2E"/>
    <w:rsid w:val="47FFFA6C"/>
    <w:rsid w:val="4B7E3003"/>
    <w:rsid w:val="4DAB5A1D"/>
    <w:rsid w:val="4DEF1181"/>
    <w:rsid w:val="4DF7AFD8"/>
    <w:rsid w:val="4EB7C693"/>
    <w:rsid w:val="4F766718"/>
    <w:rsid w:val="4F7A401A"/>
    <w:rsid w:val="4FB7FB6E"/>
    <w:rsid w:val="4FDF61A5"/>
    <w:rsid w:val="53D6A0C6"/>
    <w:rsid w:val="545D6408"/>
    <w:rsid w:val="55E79D1A"/>
    <w:rsid w:val="57DF654F"/>
    <w:rsid w:val="57EF7067"/>
    <w:rsid w:val="57FD7987"/>
    <w:rsid w:val="59F90B0A"/>
    <w:rsid w:val="5BBE9856"/>
    <w:rsid w:val="5D3EA564"/>
    <w:rsid w:val="5EF8F929"/>
    <w:rsid w:val="5EFB35F9"/>
    <w:rsid w:val="5F3F1563"/>
    <w:rsid w:val="5FCD8C28"/>
    <w:rsid w:val="5FCFCA65"/>
    <w:rsid w:val="5FDF2FE5"/>
    <w:rsid w:val="5FEBC5C1"/>
    <w:rsid w:val="5FEF4638"/>
    <w:rsid w:val="5FFA044E"/>
    <w:rsid w:val="5FFFC60B"/>
    <w:rsid w:val="62F75501"/>
    <w:rsid w:val="63BF127C"/>
    <w:rsid w:val="65FFE6B1"/>
    <w:rsid w:val="669F4FF6"/>
    <w:rsid w:val="66F57509"/>
    <w:rsid w:val="693F4DDC"/>
    <w:rsid w:val="6AFE2981"/>
    <w:rsid w:val="6B7F3FFD"/>
    <w:rsid w:val="6BBFAFFF"/>
    <w:rsid w:val="6BCE6B0E"/>
    <w:rsid w:val="6BDF4AB5"/>
    <w:rsid w:val="6CFE8B51"/>
    <w:rsid w:val="6D5A0752"/>
    <w:rsid w:val="6D75352E"/>
    <w:rsid w:val="6D798B10"/>
    <w:rsid w:val="6D7D61E3"/>
    <w:rsid w:val="6DA5FE07"/>
    <w:rsid w:val="6DFEA1DE"/>
    <w:rsid w:val="6DFF3D9C"/>
    <w:rsid w:val="6EB96629"/>
    <w:rsid w:val="6F57F6D4"/>
    <w:rsid w:val="6F785D5A"/>
    <w:rsid w:val="6F7C3FEE"/>
    <w:rsid w:val="6F7F0C03"/>
    <w:rsid w:val="6F7F5F92"/>
    <w:rsid w:val="6F7F9391"/>
    <w:rsid w:val="6FAF6FB1"/>
    <w:rsid w:val="6FE71895"/>
    <w:rsid w:val="6FF3E77D"/>
    <w:rsid w:val="6FFB99D9"/>
    <w:rsid w:val="6FFF36C0"/>
    <w:rsid w:val="6FFF9B06"/>
    <w:rsid w:val="6FFFCDCA"/>
    <w:rsid w:val="73DDE572"/>
    <w:rsid w:val="73FB4D1B"/>
    <w:rsid w:val="746BAF1D"/>
    <w:rsid w:val="74FD3382"/>
    <w:rsid w:val="74FF950D"/>
    <w:rsid w:val="75DAFD89"/>
    <w:rsid w:val="75DF5734"/>
    <w:rsid w:val="75EF3EC0"/>
    <w:rsid w:val="76AF1B27"/>
    <w:rsid w:val="76FFBA36"/>
    <w:rsid w:val="774F5044"/>
    <w:rsid w:val="77776942"/>
    <w:rsid w:val="777B4650"/>
    <w:rsid w:val="777E717F"/>
    <w:rsid w:val="77BF5501"/>
    <w:rsid w:val="77D59AB8"/>
    <w:rsid w:val="77EEB1ED"/>
    <w:rsid w:val="77EF4330"/>
    <w:rsid w:val="77F7F656"/>
    <w:rsid w:val="77FF6990"/>
    <w:rsid w:val="78F50A8F"/>
    <w:rsid w:val="78FBE0E3"/>
    <w:rsid w:val="78FD6DED"/>
    <w:rsid w:val="78FFF1C4"/>
    <w:rsid w:val="796E978E"/>
    <w:rsid w:val="79DBE168"/>
    <w:rsid w:val="79EF9108"/>
    <w:rsid w:val="79F5EA54"/>
    <w:rsid w:val="79FDF8F1"/>
    <w:rsid w:val="7AFD0F96"/>
    <w:rsid w:val="7B498BD1"/>
    <w:rsid w:val="7B5EDA65"/>
    <w:rsid w:val="7B79F44E"/>
    <w:rsid w:val="7B97CC2A"/>
    <w:rsid w:val="7BAFEE6E"/>
    <w:rsid w:val="7BDD33FC"/>
    <w:rsid w:val="7BEFCC02"/>
    <w:rsid w:val="7BFB36C0"/>
    <w:rsid w:val="7CBF5E4F"/>
    <w:rsid w:val="7CFF4C96"/>
    <w:rsid w:val="7D6A78C9"/>
    <w:rsid w:val="7D7B3E4C"/>
    <w:rsid w:val="7D7F8D99"/>
    <w:rsid w:val="7DB56DCC"/>
    <w:rsid w:val="7DBC5F4A"/>
    <w:rsid w:val="7DBF4814"/>
    <w:rsid w:val="7DDF63AF"/>
    <w:rsid w:val="7DFECAC2"/>
    <w:rsid w:val="7DFFF344"/>
    <w:rsid w:val="7E73DB2E"/>
    <w:rsid w:val="7EA75D54"/>
    <w:rsid w:val="7EBF79CE"/>
    <w:rsid w:val="7EE7B205"/>
    <w:rsid w:val="7EF793E4"/>
    <w:rsid w:val="7EFF903D"/>
    <w:rsid w:val="7EFFA791"/>
    <w:rsid w:val="7EFFB8B8"/>
    <w:rsid w:val="7F0D0E24"/>
    <w:rsid w:val="7F0E55B2"/>
    <w:rsid w:val="7F2FBA11"/>
    <w:rsid w:val="7F6B5D4A"/>
    <w:rsid w:val="7F6D67C5"/>
    <w:rsid w:val="7F7F5BAA"/>
    <w:rsid w:val="7F9F9ED5"/>
    <w:rsid w:val="7FA60739"/>
    <w:rsid w:val="7FB7D85F"/>
    <w:rsid w:val="7FBE24FD"/>
    <w:rsid w:val="7FCDE97F"/>
    <w:rsid w:val="7FCE96E0"/>
    <w:rsid w:val="7FCF71BE"/>
    <w:rsid w:val="7FE37636"/>
    <w:rsid w:val="7FEF6FC1"/>
    <w:rsid w:val="7FF5CBAB"/>
    <w:rsid w:val="7FFBD428"/>
    <w:rsid w:val="7FFC0C9C"/>
    <w:rsid w:val="7FFF2EE3"/>
    <w:rsid w:val="7FFF6307"/>
    <w:rsid w:val="7FFF95EB"/>
    <w:rsid w:val="7FFFDB2C"/>
    <w:rsid w:val="86DFB922"/>
    <w:rsid w:val="86FC7143"/>
    <w:rsid w:val="87AF095A"/>
    <w:rsid w:val="89BF5AE0"/>
    <w:rsid w:val="8BB21BE6"/>
    <w:rsid w:val="8FBB62E3"/>
    <w:rsid w:val="92DB7FA7"/>
    <w:rsid w:val="971F13EF"/>
    <w:rsid w:val="97BFF68D"/>
    <w:rsid w:val="97D7067B"/>
    <w:rsid w:val="97FD7D60"/>
    <w:rsid w:val="9A5FDB99"/>
    <w:rsid w:val="9B75A33C"/>
    <w:rsid w:val="9D16EA01"/>
    <w:rsid w:val="9DBEC1F1"/>
    <w:rsid w:val="9DDF72D2"/>
    <w:rsid w:val="9EFFA895"/>
    <w:rsid w:val="9EFFD243"/>
    <w:rsid w:val="9F5D5E29"/>
    <w:rsid w:val="9FDF4140"/>
    <w:rsid w:val="9FEB1AD6"/>
    <w:rsid w:val="9FFDE6CE"/>
    <w:rsid w:val="A1FB611A"/>
    <w:rsid w:val="A3FDC3AD"/>
    <w:rsid w:val="ACDD2161"/>
    <w:rsid w:val="AD5DE516"/>
    <w:rsid w:val="AD979A2D"/>
    <w:rsid w:val="AE7DDF92"/>
    <w:rsid w:val="AF5E97B0"/>
    <w:rsid w:val="AFBFFBFD"/>
    <w:rsid w:val="AFCF23E9"/>
    <w:rsid w:val="AFD37E99"/>
    <w:rsid w:val="AFEF742B"/>
    <w:rsid w:val="B2FE57CB"/>
    <w:rsid w:val="B57FCBEF"/>
    <w:rsid w:val="B5CB79AD"/>
    <w:rsid w:val="B67DB5EF"/>
    <w:rsid w:val="B7575C0F"/>
    <w:rsid w:val="B7CF1FF0"/>
    <w:rsid w:val="B7FEC9A6"/>
    <w:rsid w:val="B7FF3860"/>
    <w:rsid w:val="B97B7352"/>
    <w:rsid w:val="BAE32F89"/>
    <w:rsid w:val="BAF9EAB2"/>
    <w:rsid w:val="BBBFBDEE"/>
    <w:rsid w:val="BC1709C0"/>
    <w:rsid w:val="BC7E8F7B"/>
    <w:rsid w:val="BCFBA558"/>
    <w:rsid w:val="BD7F7BE9"/>
    <w:rsid w:val="BDAFF60F"/>
    <w:rsid w:val="BDD7E7E7"/>
    <w:rsid w:val="BDDF0959"/>
    <w:rsid w:val="BDDF464F"/>
    <w:rsid w:val="BDEEA855"/>
    <w:rsid w:val="BDFC7B52"/>
    <w:rsid w:val="BEFA049A"/>
    <w:rsid w:val="BF7A1527"/>
    <w:rsid w:val="BF868111"/>
    <w:rsid w:val="BFF32037"/>
    <w:rsid w:val="C6FEC637"/>
    <w:rsid w:val="C7E8DC6E"/>
    <w:rsid w:val="CA4CBA2A"/>
    <w:rsid w:val="CB7BE9A6"/>
    <w:rsid w:val="CD7FC304"/>
    <w:rsid w:val="CDAF1286"/>
    <w:rsid w:val="CEFC5B0A"/>
    <w:rsid w:val="D1A7CE60"/>
    <w:rsid w:val="D5F9F09E"/>
    <w:rsid w:val="D7BF83E3"/>
    <w:rsid w:val="DAFFC3F1"/>
    <w:rsid w:val="DB2CEB22"/>
    <w:rsid w:val="DB9BB1E5"/>
    <w:rsid w:val="DB9FBC10"/>
    <w:rsid w:val="DBBB03DF"/>
    <w:rsid w:val="DBE7414D"/>
    <w:rsid w:val="DBEFB5BE"/>
    <w:rsid w:val="DBFF9D0A"/>
    <w:rsid w:val="DC7F153E"/>
    <w:rsid w:val="DD3F3505"/>
    <w:rsid w:val="DD795EEE"/>
    <w:rsid w:val="DDAE36D0"/>
    <w:rsid w:val="DDFACEFA"/>
    <w:rsid w:val="DDFF737F"/>
    <w:rsid w:val="DE5FF833"/>
    <w:rsid w:val="DECB35AD"/>
    <w:rsid w:val="DEDF6035"/>
    <w:rsid w:val="DEEFFAC6"/>
    <w:rsid w:val="DF3E0CD2"/>
    <w:rsid w:val="DF7B36F5"/>
    <w:rsid w:val="DF9BB8A7"/>
    <w:rsid w:val="DFB3C9EC"/>
    <w:rsid w:val="DFBF0497"/>
    <w:rsid w:val="DFBFB2CF"/>
    <w:rsid w:val="DFDB0FD7"/>
    <w:rsid w:val="DFEF5325"/>
    <w:rsid w:val="DFF5DFE4"/>
    <w:rsid w:val="DFFEDF19"/>
    <w:rsid w:val="DFFFEC71"/>
    <w:rsid w:val="E3BF757E"/>
    <w:rsid w:val="E6DA94D0"/>
    <w:rsid w:val="E71FDEC8"/>
    <w:rsid w:val="E7DFA589"/>
    <w:rsid w:val="E7FF163A"/>
    <w:rsid w:val="E8FAE47B"/>
    <w:rsid w:val="ED233F0C"/>
    <w:rsid w:val="ED3FC58C"/>
    <w:rsid w:val="ED6F0AC9"/>
    <w:rsid w:val="EE559DB4"/>
    <w:rsid w:val="EE7CDD40"/>
    <w:rsid w:val="EEA7A42C"/>
    <w:rsid w:val="EEBDDD54"/>
    <w:rsid w:val="EEEFDF76"/>
    <w:rsid w:val="EEFD50A2"/>
    <w:rsid w:val="EF7FC0B2"/>
    <w:rsid w:val="EF95800F"/>
    <w:rsid w:val="EFBBCFC9"/>
    <w:rsid w:val="EFCB0C6B"/>
    <w:rsid w:val="EFDB8CB1"/>
    <w:rsid w:val="EFEB4E24"/>
    <w:rsid w:val="EFF72B79"/>
    <w:rsid w:val="EFF77F11"/>
    <w:rsid w:val="EFF7C63E"/>
    <w:rsid w:val="EFF7D618"/>
    <w:rsid w:val="F1FEFD9A"/>
    <w:rsid w:val="F25F3DEE"/>
    <w:rsid w:val="F2B7287B"/>
    <w:rsid w:val="F2FF0199"/>
    <w:rsid w:val="F3B7F445"/>
    <w:rsid w:val="F3BF0BDC"/>
    <w:rsid w:val="F3BF219E"/>
    <w:rsid w:val="F3C75E98"/>
    <w:rsid w:val="F3CFE235"/>
    <w:rsid w:val="F3D77742"/>
    <w:rsid w:val="F3EDD244"/>
    <w:rsid w:val="F3FEC98A"/>
    <w:rsid w:val="F48F1FB5"/>
    <w:rsid w:val="F4EE8155"/>
    <w:rsid w:val="F4FFC145"/>
    <w:rsid w:val="F5BC2D04"/>
    <w:rsid w:val="F5DFEDB8"/>
    <w:rsid w:val="F65F53C6"/>
    <w:rsid w:val="F6EF9BFE"/>
    <w:rsid w:val="F6F99318"/>
    <w:rsid w:val="F7A43AE4"/>
    <w:rsid w:val="F7BBC5A0"/>
    <w:rsid w:val="F7DFC082"/>
    <w:rsid w:val="FA8F2DD0"/>
    <w:rsid w:val="FA8FC596"/>
    <w:rsid w:val="FAE697AF"/>
    <w:rsid w:val="FAFB3CB2"/>
    <w:rsid w:val="FAFFA747"/>
    <w:rsid w:val="FB65375A"/>
    <w:rsid w:val="FB9FF393"/>
    <w:rsid w:val="FBD67B81"/>
    <w:rsid w:val="FBEDC8BE"/>
    <w:rsid w:val="FBEF64AE"/>
    <w:rsid w:val="FBEFDF96"/>
    <w:rsid w:val="FBFBFE4F"/>
    <w:rsid w:val="FCFE1433"/>
    <w:rsid w:val="FCFF3067"/>
    <w:rsid w:val="FD57516E"/>
    <w:rsid w:val="FDDCD0CD"/>
    <w:rsid w:val="FDDEBBCE"/>
    <w:rsid w:val="FDEB6A56"/>
    <w:rsid w:val="FDFD9061"/>
    <w:rsid w:val="FDFFC252"/>
    <w:rsid w:val="FE7DE0B5"/>
    <w:rsid w:val="FEB918C5"/>
    <w:rsid w:val="FEDD18C5"/>
    <w:rsid w:val="FEDE06DE"/>
    <w:rsid w:val="FEFC2DF8"/>
    <w:rsid w:val="FEFE94EA"/>
    <w:rsid w:val="FEFFF359"/>
    <w:rsid w:val="FF5B44D0"/>
    <w:rsid w:val="FF672CA7"/>
    <w:rsid w:val="FF6F7539"/>
    <w:rsid w:val="FF7C0F43"/>
    <w:rsid w:val="FF7F3371"/>
    <w:rsid w:val="FF87FB6C"/>
    <w:rsid w:val="FFB7EA6A"/>
    <w:rsid w:val="FFCE30C9"/>
    <w:rsid w:val="FFD5A1DF"/>
    <w:rsid w:val="FFEF16AE"/>
    <w:rsid w:val="FFF231EE"/>
    <w:rsid w:val="FFF95F82"/>
    <w:rsid w:val="FFFCFF74"/>
    <w:rsid w:val="FFFD4A1D"/>
    <w:rsid w:val="FFFE1DC7"/>
    <w:rsid w:val="FFFEB9CD"/>
    <w:rsid w:val="FFFF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E8F579"/>
  <w15:docId w15:val="{301745F8-7CBC-4693-85F0-E06206A5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uiPriority="35"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after="160" w:line="278" w:lineRule="auto"/>
      <w:jc w:val="both"/>
    </w:pPr>
    <w:rPr>
      <w:rFonts w:ascii="Calibri" w:hAnsi="Calibri"/>
      <w:kern w:val="2"/>
      <w:sz w:val="21"/>
      <w:szCs w:val="22"/>
    </w:rPr>
  </w:style>
  <w:style w:type="paragraph" w:styleId="2">
    <w:name w:val="heading 2"/>
    <w:basedOn w:val="a0"/>
    <w:next w:val="a0"/>
    <w:unhideWhenUsed/>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0"/>
    <w:next w:val="a0"/>
    <w:unhideWhenUsed/>
    <w:qFormat/>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35"/>
    <w:unhideWhenUsed/>
    <w:qFormat/>
    <w:pPr>
      <w:ind w:firstLineChars="200" w:firstLine="200"/>
      <w:jc w:val="left"/>
    </w:pPr>
    <w:rPr>
      <w:rFonts w:ascii="Cambria" w:eastAsia="黑体" w:hAnsi="Cambria"/>
      <w:sz w:val="20"/>
      <w:szCs w:val="20"/>
    </w:rPr>
  </w:style>
  <w:style w:type="paragraph" w:styleId="a5">
    <w:name w:val="footer"/>
    <w:basedOn w:val="a0"/>
    <w:uiPriority w:val="99"/>
    <w:unhideWhenUsed/>
    <w:qFormat/>
    <w:pPr>
      <w:tabs>
        <w:tab w:val="center" w:pos="4153"/>
        <w:tab w:val="right" w:pos="8306"/>
      </w:tabs>
      <w:snapToGrid w:val="0"/>
      <w:jc w:val="left"/>
    </w:pPr>
    <w:rPr>
      <w:sz w:val="18"/>
      <w:szCs w:val="18"/>
    </w:rPr>
  </w:style>
  <w:style w:type="paragraph" w:styleId="a6">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7">
    <w:name w:val="Table Grid"/>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qFormat/>
    <w:rPr>
      <w:b/>
    </w:rPr>
  </w:style>
  <w:style w:type="character" w:styleId="a9">
    <w:name w:val="page number"/>
    <w:qFormat/>
    <w:rPr>
      <w:rFonts w:ascii="Times New Roman" w:eastAsia="宋体" w:hAnsi="Times New Roman"/>
      <w:sz w:val="18"/>
    </w:rPr>
  </w:style>
  <w:style w:type="paragraph" w:customStyle="1" w:styleId="aa">
    <w:name w:val="标准标志"/>
    <w:next w:val="a0"/>
    <w:qFormat/>
    <w:pPr>
      <w:framePr w:w="2546" w:h="1389" w:hRule="exact" w:hSpace="181" w:vSpace="181" w:wrap="around" w:hAnchor="margin" w:x="6522" w:y="398" w:anchorLock="1"/>
      <w:shd w:val="solid" w:color="FFFFFF" w:fill="FFFFFF"/>
      <w:spacing w:after="160" w:line="0" w:lineRule="atLeast"/>
      <w:jc w:val="right"/>
    </w:pPr>
    <w:rPr>
      <w:b/>
      <w:w w:val="170"/>
      <w:sz w:val="96"/>
      <w:szCs w:val="96"/>
    </w:rPr>
  </w:style>
  <w:style w:type="paragraph" w:customStyle="1" w:styleId="20">
    <w:name w:val="封面标准号2"/>
    <w:qFormat/>
    <w:pPr>
      <w:framePr w:w="9140" w:h="1242" w:hRule="exact" w:hSpace="284" w:wrap="around" w:vAnchor="page" w:hAnchor="page" w:x="1645" w:y="2910" w:anchorLock="1"/>
      <w:spacing w:before="357" w:after="160" w:line="280" w:lineRule="exact"/>
      <w:jc w:val="right"/>
    </w:pPr>
    <w:rPr>
      <w:rFonts w:ascii="黑体" w:eastAsia="黑体"/>
      <w:sz w:val="28"/>
      <w:szCs w:val="28"/>
    </w:rPr>
  </w:style>
  <w:style w:type="paragraph" w:customStyle="1" w:styleId="ab">
    <w:name w:val="前言、引言标题"/>
    <w:next w:val="ac"/>
    <w:qFormat/>
    <w:pPr>
      <w:keepNext/>
      <w:pageBreakBefore/>
      <w:shd w:val="clear" w:color="FFFFFF" w:fill="FFFFFF"/>
      <w:spacing w:before="640" w:after="560" w:line="278" w:lineRule="auto"/>
      <w:jc w:val="center"/>
      <w:outlineLvl w:val="0"/>
    </w:pPr>
    <w:rPr>
      <w:rFonts w:ascii="黑体" w:eastAsia="黑体"/>
      <w:sz w:val="32"/>
    </w:rPr>
  </w:style>
  <w:style w:type="paragraph" w:customStyle="1" w:styleId="ac">
    <w:name w:val="段"/>
    <w:qFormat/>
    <w:pPr>
      <w:tabs>
        <w:tab w:val="center" w:pos="4201"/>
        <w:tab w:val="right" w:leader="dot" w:pos="9298"/>
      </w:tabs>
      <w:autoSpaceDE w:val="0"/>
      <w:autoSpaceDN w:val="0"/>
      <w:spacing w:after="160" w:line="278" w:lineRule="auto"/>
      <w:ind w:firstLineChars="200" w:firstLine="420"/>
      <w:jc w:val="both"/>
    </w:pPr>
    <w:rPr>
      <w:rFonts w:ascii="宋体"/>
      <w:sz w:val="21"/>
    </w:rPr>
  </w:style>
  <w:style w:type="paragraph" w:customStyle="1" w:styleId="ad">
    <w:name w:val="目次、标准名称标题"/>
    <w:basedOn w:val="a0"/>
    <w:next w:val="ac"/>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c"/>
    <w:qFormat/>
    <w:pPr>
      <w:numPr>
        <w:numId w:val="1"/>
      </w:numPr>
      <w:spacing w:beforeLines="100" w:before="312" w:afterLines="100" w:after="312" w:line="278" w:lineRule="auto"/>
      <w:jc w:val="both"/>
      <w:outlineLvl w:val="1"/>
    </w:pPr>
    <w:rPr>
      <w:rFonts w:ascii="黑体" w:eastAsia="黑体"/>
      <w:sz w:val="21"/>
    </w:rPr>
  </w:style>
  <w:style w:type="paragraph" w:customStyle="1" w:styleId="ae">
    <w:name w:val="终结线"/>
    <w:basedOn w:val="a0"/>
    <w:qFormat/>
    <w:pPr>
      <w:framePr w:hSpace="181" w:vSpace="181" w:wrap="around" w:vAnchor="text" w:hAnchor="margin" w:xAlign="center" w:y="285"/>
    </w:pPr>
  </w:style>
  <w:style w:type="paragraph" w:customStyle="1" w:styleId="af">
    <w:name w:val="标准书眉_奇数页"/>
    <w:next w:val="a0"/>
    <w:qFormat/>
    <w:pPr>
      <w:tabs>
        <w:tab w:val="center" w:pos="4154"/>
        <w:tab w:val="right" w:pos="8306"/>
      </w:tabs>
      <w:spacing w:after="220" w:line="278" w:lineRule="auto"/>
      <w:jc w:val="right"/>
    </w:pPr>
    <w:rPr>
      <w:rFonts w:ascii="黑体" w:eastAsia="黑体"/>
      <w:sz w:val="21"/>
      <w:szCs w:val="21"/>
    </w:rPr>
  </w:style>
  <w:style w:type="paragraph" w:customStyle="1" w:styleId="af0">
    <w:name w:val="标准书脚_奇数页"/>
    <w:qFormat/>
    <w:pPr>
      <w:spacing w:before="120" w:after="160" w:line="278" w:lineRule="auto"/>
      <w:ind w:right="198"/>
      <w:jc w:val="right"/>
    </w:pPr>
    <w:rPr>
      <w:rFonts w:ascii="宋体"/>
      <w:sz w:val="18"/>
      <w:szCs w:val="18"/>
    </w:rPr>
  </w:style>
  <w:style w:type="table" w:customStyle="1" w:styleId="1">
    <w:name w:val="网格型浅色1"/>
    <w:basedOn w:val="a2"/>
    <w:uiPriority w:val="40"/>
    <w:qFormat/>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paragraph" w:styleId="af1">
    <w:name w:val="List Paragraph"/>
    <w:basedOn w:val="a0"/>
    <w:uiPriority w:val="34"/>
    <w:qFormat/>
    <w:pPr>
      <w:ind w:firstLineChars="200" w:firstLine="420"/>
    </w:pPr>
  </w:style>
  <w:style w:type="character" w:customStyle="1" w:styleId="fontstyle01">
    <w:name w:val="fontstyle01"/>
    <w:basedOn w:val="a1"/>
    <w:qFormat/>
    <w:rPr>
      <w:rFonts w:ascii="仿宋_GB2312" w:eastAsia="仿宋_GB2312" w:hAnsi="仿宋_GB2312" w:cs="仿宋_GB2312"/>
      <w:color w:val="000000"/>
      <w:sz w:val="28"/>
      <w:szCs w:val="28"/>
    </w:rPr>
  </w:style>
  <w:style w:type="table" w:customStyle="1" w:styleId="10">
    <w:name w:val="网格型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字母编号列项（一级）"/>
    <w:qFormat/>
    <w:pPr>
      <w:spacing w:line="360" w:lineRule="auto"/>
      <w:ind w:leftChars="200" w:left="840" w:hangingChars="200" w:hanging="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云海</dc:creator>
  <cp:lastModifiedBy>Anson ZHENG</cp:lastModifiedBy>
  <cp:revision>3</cp:revision>
  <cp:lastPrinted>2023-10-31T15:34:00Z</cp:lastPrinted>
  <dcterms:created xsi:type="dcterms:W3CDTF">2025-11-24T06:27:00Z</dcterms:created>
  <dcterms:modified xsi:type="dcterms:W3CDTF">2025-11-24T07:43:00Z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8CCFDF54DB824A89906659550ABB3B0B_13</vt:lpwstr>
  </property>
  <property fmtid="{D5CDD505-2E9C-101B-9397-08002B2CF9AE}" pid="4" name="KSOTemplateDocerSaveRecord">
    <vt:lpwstr>eyJoZGlkIjoiZmMxOGRiNDI3MDY1NzI5MGFkYjBmNGQ4NWNmYjZjYjIiLCJ1c2VySWQiOiIyNDQ2NDIzMjUifQ==</vt:lpwstr>
  </property>
</Properties>
</file>