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65F10">
      <w:pPr>
        <w:spacing w:line="360" w:lineRule="auto"/>
        <w:jc w:val="center"/>
        <w:rPr>
          <w:b/>
          <w:bCs/>
          <w:sz w:val="24"/>
          <w:szCs w:val="24"/>
        </w:rPr>
      </w:pPr>
      <w:r>
        <w:rPr>
          <w:sz w:val="24"/>
          <w:szCs w:val="24"/>
        </w:rPr>
        <w:fldChar w:fldCharType="begin">
          <w:fldData xml:space="preserve">ZQBKAHoAdABYAFEAMQB3AFcAOABXAGQAZgAwACsAUwBwAGUAZQBOAEkAVQBaAEEAegBwAGoAMgBV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</w:fldData>
        </w:fldChar>
      </w:r>
      <w:r>
        <w:rPr>
          <w:sz w:val="24"/>
          <w:szCs w:val="24"/>
        </w:rPr>
        <w:instrText xml:space="preserve">ADDIN CNKISM.UserStyle</w:instrText>
      </w:r>
      <w:r>
        <w:rPr>
          <w:sz w:val="24"/>
          <w:szCs w:val="24"/>
        </w:rPr>
        <w:fldChar w:fldCharType="separate"/>
      </w:r>
      <w:r>
        <w:rPr>
          <w:sz w:val="24"/>
          <w:szCs w:val="24"/>
        </w:rPr>
        <w:fldChar w:fldCharType="end"/>
      </w:r>
      <w:r>
        <w:rPr>
          <w:sz w:val="24"/>
          <w:szCs w:val="24"/>
        </w:rPr>
        <w:t>《</w:t>
      </w:r>
      <w:bookmarkStart w:id="0" w:name="_Hlk174825240"/>
      <w:r>
        <w:rPr>
          <w:b/>
          <w:bCs/>
          <w:sz w:val="24"/>
          <w:szCs w:val="24"/>
        </w:rPr>
        <w:t>稻田土壤保育与碳氮协同减排</w:t>
      </w:r>
      <w:bookmarkEnd w:id="0"/>
      <w:r>
        <w:rPr>
          <w:b/>
          <w:bCs/>
          <w:sz w:val="24"/>
          <w:szCs w:val="24"/>
        </w:rPr>
        <w:t>技术规范第2部分：南方双季稻区</w:t>
      </w:r>
      <w:r>
        <w:rPr>
          <w:b/>
          <w:bCs/>
          <w:sz w:val="24"/>
          <w:szCs w:val="24"/>
        </w:rPr>
        <w:t>（征求意见稿）》农业行业标准</w:t>
      </w:r>
    </w:p>
    <w:p w14:paraId="195C48AF">
      <w:pPr>
        <w:spacing w:line="360" w:lineRule="auto"/>
        <w:jc w:val="center"/>
        <w:rPr>
          <w:b/>
          <w:bCs/>
          <w:sz w:val="24"/>
          <w:szCs w:val="24"/>
        </w:rPr>
      </w:pPr>
    </w:p>
    <w:p w14:paraId="5FC26402">
      <w:pPr>
        <w:spacing w:line="360" w:lineRule="auto"/>
        <w:jc w:val="center"/>
        <w:rPr>
          <w:b/>
          <w:bCs/>
          <w:sz w:val="24"/>
          <w:szCs w:val="24"/>
        </w:rPr>
      </w:pPr>
    </w:p>
    <w:p w14:paraId="44209CDD">
      <w:pPr>
        <w:spacing w:line="360" w:lineRule="auto"/>
        <w:jc w:val="center"/>
        <w:rPr>
          <w:b/>
          <w:bCs/>
          <w:sz w:val="24"/>
          <w:szCs w:val="24"/>
        </w:rPr>
      </w:pPr>
    </w:p>
    <w:p w14:paraId="6CE0893F">
      <w:pPr>
        <w:spacing w:line="360" w:lineRule="auto"/>
        <w:jc w:val="center"/>
        <w:rPr>
          <w:b/>
          <w:bCs/>
          <w:sz w:val="24"/>
          <w:szCs w:val="24"/>
        </w:rPr>
      </w:pPr>
    </w:p>
    <w:p w14:paraId="2EE64F8A">
      <w:pPr>
        <w:spacing w:line="360" w:lineRule="auto"/>
        <w:jc w:val="center"/>
        <w:rPr>
          <w:b/>
          <w:bCs/>
          <w:sz w:val="24"/>
          <w:szCs w:val="24"/>
        </w:rPr>
      </w:pPr>
    </w:p>
    <w:p w14:paraId="4369DB33">
      <w:pPr>
        <w:spacing w:line="360" w:lineRule="auto"/>
        <w:jc w:val="center"/>
        <w:rPr>
          <w:b/>
          <w:bCs/>
          <w:sz w:val="40"/>
          <w:szCs w:val="40"/>
        </w:rPr>
      </w:pPr>
      <w:bookmarkStart w:id="42" w:name="_GoBack"/>
      <w:r>
        <w:rPr>
          <w:b/>
          <w:bCs/>
          <w:sz w:val="40"/>
          <w:szCs w:val="40"/>
        </w:rPr>
        <w:t>编制说明</w:t>
      </w:r>
    </w:p>
    <w:bookmarkEnd w:id="42"/>
    <w:p w14:paraId="539F634C">
      <w:pPr>
        <w:spacing w:line="360" w:lineRule="auto"/>
        <w:jc w:val="center"/>
        <w:rPr>
          <w:b/>
          <w:bCs/>
          <w:sz w:val="24"/>
          <w:szCs w:val="24"/>
        </w:rPr>
      </w:pPr>
    </w:p>
    <w:p w14:paraId="6037A3BF">
      <w:pPr>
        <w:spacing w:line="360" w:lineRule="auto"/>
        <w:jc w:val="center"/>
        <w:rPr>
          <w:b/>
          <w:bCs/>
          <w:sz w:val="24"/>
          <w:szCs w:val="24"/>
        </w:rPr>
      </w:pPr>
    </w:p>
    <w:p w14:paraId="1D268F6B">
      <w:pPr>
        <w:spacing w:line="360" w:lineRule="auto"/>
        <w:jc w:val="center"/>
        <w:rPr>
          <w:b/>
          <w:bCs/>
          <w:sz w:val="24"/>
          <w:szCs w:val="24"/>
        </w:rPr>
      </w:pPr>
    </w:p>
    <w:p w14:paraId="18D630E2">
      <w:pPr>
        <w:spacing w:line="360" w:lineRule="auto"/>
        <w:jc w:val="center"/>
        <w:rPr>
          <w:b/>
          <w:bCs/>
          <w:sz w:val="24"/>
          <w:szCs w:val="24"/>
        </w:rPr>
      </w:pPr>
    </w:p>
    <w:p w14:paraId="2A7244AF">
      <w:pPr>
        <w:spacing w:line="360" w:lineRule="auto"/>
        <w:jc w:val="center"/>
        <w:rPr>
          <w:b/>
          <w:bCs/>
          <w:sz w:val="24"/>
          <w:szCs w:val="24"/>
        </w:rPr>
      </w:pPr>
    </w:p>
    <w:p w14:paraId="4B3F6537">
      <w:pPr>
        <w:spacing w:line="360" w:lineRule="auto"/>
        <w:jc w:val="center"/>
        <w:rPr>
          <w:b/>
          <w:bCs/>
          <w:sz w:val="24"/>
          <w:szCs w:val="24"/>
        </w:rPr>
      </w:pPr>
    </w:p>
    <w:p w14:paraId="756BA80F">
      <w:pPr>
        <w:spacing w:line="360" w:lineRule="auto"/>
        <w:rPr>
          <w:b/>
          <w:sz w:val="24"/>
          <w:szCs w:val="24"/>
        </w:rPr>
      </w:pPr>
      <w:r>
        <w:rPr>
          <w:b/>
          <w:sz w:val="24"/>
          <w:szCs w:val="24"/>
        </w:rPr>
        <w:t>承担单位</w:t>
      </w:r>
      <w:r>
        <w:rPr>
          <w:sz w:val="24"/>
          <w:szCs w:val="24"/>
        </w:rPr>
        <w:t xml:space="preserve">：  </w:t>
      </w:r>
      <w:r>
        <w:rPr>
          <w:b/>
          <w:sz w:val="24"/>
          <w:szCs w:val="24"/>
        </w:rPr>
        <w:t>中国农业科学院农业资源与农业区划研究所</w:t>
      </w:r>
    </w:p>
    <w:p w14:paraId="3E1B47CD">
      <w:pPr>
        <w:spacing w:line="360" w:lineRule="auto"/>
        <w:rPr>
          <w:b/>
          <w:sz w:val="24"/>
          <w:szCs w:val="24"/>
        </w:rPr>
      </w:pPr>
      <w:r>
        <w:rPr>
          <w:b/>
          <w:sz w:val="24"/>
          <w:szCs w:val="24"/>
        </w:rPr>
        <w:t xml:space="preserve">标准负责人：刘宏斌         </w:t>
      </w:r>
    </w:p>
    <w:p w14:paraId="379E6328">
      <w:pPr>
        <w:spacing w:line="360" w:lineRule="auto"/>
        <w:rPr>
          <w:b/>
          <w:sz w:val="24"/>
          <w:szCs w:val="24"/>
        </w:rPr>
      </w:pPr>
      <w:r>
        <w:rPr>
          <w:b/>
          <w:sz w:val="24"/>
          <w:szCs w:val="24"/>
        </w:rPr>
        <w:t xml:space="preserve">联系电话：  010-82106737         </w:t>
      </w:r>
    </w:p>
    <w:p w14:paraId="524ECDA5">
      <w:pPr>
        <w:spacing w:line="360" w:lineRule="auto"/>
        <w:rPr>
          <w:b/>
          <w:sz w:val="24"/>
          <w:szCs w:val="24"/>
        </w:rPr>
      </w:pPr>
      <w:r>
        <w:rPr>
          <w:b/>
          <w:sz w:val="24"/>
          <w:szCs w:val="24"/>
        </w:rPr>
        <w:t>邮箱：      liuhongbin@caas.cn</w:t>
      </w:r>
    </w:p>
    <w:p w14:paraId="34342429">
      <w:pPr>
        <w:spacing w:line="360" w:lineRule="auto"/>
        <w:ind w:firstLine="480" w:firstLineChars="200"/>
        <w:rPr>
          <w:bCs/>
          <w:sz w:val="24"/>
          <w:szCs w:val="24"/>
        </w:rPr>
      </w:pPr>
    </w:p>
    <w:p w14:paraId="00C670D0">
      <w:pPr>
        <w:spacing w:before="0" w:beforeLines="-2147483648" w:after="0" w:afterLines="-2147483648" w:line="240" w:lineRule="auto"/>
        <w:outlineLvl w:val="9"/>
        <w:rPr>
          <w:rFonts w:eastAsia="黑体"/>
          <w:b/>
          <w:snapToGrid w:val="0"/>
          <w:color w:val="000000"/>
          <w:kern w:val="0"/>
          <w:sz w:val="24"/>
          <w:szCs w:val="24"/>
        </w:rPr>
      </w:pPr>
      <w:r>
        <w:rPr>
          <w:rFonts w:eastAsia="黑体"/>
          <w:b/>
          <w:snapToGrid w:val="0"/>
          <w:color w:val="000000"/>
          <w:kern w:val="0"/>
          <w:sz w:val="24"/>
          <w:szCs w:val="24"/>
        </w:rPr>
        <w:br w:type="page"/>
      </w:r>
    </w:p>
    <w:p w14:paraId="4F5BFDFA">
      <w:pPr>
        <w:spacing w:before="156" w:beforeLines="50" w:after="156" w:afterLines="50" w:line="360" w:lineRule="auto"/>
        <w:outlineLvl w:val="0"/>
        <w:rPr>
          <w:rFonts w:eastAsia="黑体"/>
          <w:b/>
          <w:snapToGrid w:val="0"/>
          <w:color w:val="000000"/>
          <w:kern w:val="0"/>
          <w:sz w:val="24"/>
          <w:szCs w:val="24"/>
        </w:rPr>
      </w:pPr>
      <w:r>
        <w:rPr>
          <w:rFonts w:eastAsia="黑体"/>
          <w:b/>
          <w:snapToGrid w:val="0"/>
          <w:color w:val="000000"/>
          <w:kern w:val="0"/>
          <w:sz w:val="24"/>
          <w:szCs w:val="24"/>
        </w:rPr>
        <w:t>一、工作简况</w:t>
      </w:r>
    </w:p>
    <w:p w14:paraId="172B4BCB">
      <w:pPr>
        <w:spacing w:line="360" w:lineRule="auto"/>
        <w:ind w:firstLine="480" w:firstLineChars="200"/>
        <w:outlineLvl w:val="1"/>
        <w:rPr>
          <w:rFonts w:eastAsia="楷体"/>
          <w:b/>
          <w:bCs/>
          <w:sz w:val="24"/>
          <w:szCs w:val="24"/>
        </w:rPr>
      </w:pPr>
      <w:r>
        <w:rPr>
          <w:rFonts w:eastAsia="楷体"/>
          <w:b/>
          <w:bCs/>
          <w:sz w:val="24"/>
          <w:szCs w:val="24"/>
        </w:rPr>
        <w:t>（一）任务来源</w:t>
      </w:r>
    </w:p>
    <w:p w14:paraId="73077AC4">
      <w:pPr>
        <w:pStyle w:val="7"/>
        <w:spacing w:line="360" w:lineRule="auto"/>
        <w:ind w:firstLine="480"/>
        <w:rPr>
          <w:rFonts w:ascii="Times New Roman"/>
          <w:snapToGrid w:val="0"/>
          <w:color w:val="000000"/>
          <w:kern w:val="0"/>
          <w:sz w:val="24"/>
        </w:rPr>
      </w:pPr>
      <w:r>
        <w:rPr>
          <w:rFonts w:ascii="Times New Roman"/>
          <w:snapToGrid w:val="0"/>
          <w:color w:val="000000"/>
          <w:kern w:val="0"/>
          <w:sz w:val="24"/>
        </w:rPr>
        <w:t>本项目依据2024年4月30日，农业农村部农产品质量安全监管司关于下达2024年农业国家和行业标准制修订项目计划的通知【农质标函 2024 71 号】中《稻田土壤保育与碳氮协同减排技术规范 第 2 部分：南方双季稻区》（NYB-24244）制定项目，开展标准的制定相关工作。</w:t>
      </w:r>
    </w:p>
    <w:p w14:paraId="00FDB11C">
      <w:pPr>
        <w:spacing w:line="360" w:lineRule="auto"/>
        <w:ind w:firstLine="480" w:firstLineChars="200"/>
        <w:outlineLvl w:val="1"/>
        <w:rPr>
          <w:rFonts w:eastAsia="楷体"/>
          <w:b/>
          <w:bCs/>
          <w:sz w:val="24"/>
          <w:szCs w:val="24"/>
        </w:rPr>
      </w:pPr>
      <w:r>
        <w:rPr>
          <w:rFonts w:eastAsia="楷体"/>
          <w:b/>
          <w:bCs/>
          <w:sz w:val="24"/>
          <w:szCs w:val="24"/>
        </w:rPr>
        <w:t>（二）制定背景</w:t>
      </w:r>
    </w:p>
    <w:p w14:paraId="1F80350C">
      <w:pPr>
        <w:pStyle w:val="7"/>
        <w:spacing w:line="360" w:lineRule="auto"/>
        <w:ind w:firstLine="480"/>
        <w:rPr>
          <w:rFonts w:ascii="Times New Roman"/>
          <w:snapToGrid w:val="0"/>
          <w:color w:val="000000"/>
          <w:kern w:val="0"/>
          <w:sz w:val="24"/>
        </w:rPr>
      </w:pPr>
      <w:r>
        <w:rPr>
          <w:rFonts w:ascii="Times New Roman"/>
          <w:snapToGrid w:val="0"/>
          <w:color w:val="000000"/>
          <w:kern w:val="0"/>
          <w:sz w:val="24"/>
        </w:rPr>
        <w:t>水稻是世界上第一大口粮作物，全球60%以上的人口以稻米为主食。我国是世界上最大的水稻生产国，总产占全球水稻总产的27%以上（FAO, 2023）。同时，水稻是一种耗水的作物，我国水稻耗水量约占农业用水总量的60%~70%（中国农业部，2013），化肥用量约占全国化肥用量的20%。稻田氮肥的超量施用和水资源的不合理利用导致氮素随地表径流损失风险显著增加，根据第二次全国污染源普查结果，水稻氮流失量占全国种植业氮流失量的近40%。稻田甲烷（CH</w:t>
      </w:r>
      <w:r>
        <w:rPr>
          <w:rFonts w:ascii="Times New Roman"/>
          <w:snapToGrid w:val="0"/>
          <w:color w:val="000000"/>
          <w:kern w:val="0"/>
          <w:sz w:val="24"/>
          <w:vertAlign w:val="subscript"/>
        </w:rPr>
        <w:t>4</w:t>
      </w:r>
      <w:r>
        <w:rPr>
          <w:rFonts w:ascii="Times New Roman"/>
          <w:snapToGrid w:val="0"/>
          <w:color w:val="000000"/>
          <w:kern w:val="0"/>
          <w:sz w:val="24"/>
        </w:rPr>
        <w:t>）排放对全球变暖造成的威胁同样是不可忽视的问题，根据中华人民共和国气候变化第四次国家信息通报，稻田排放的CH</w:t>
      </w:r>
      <w:r>
        <w:rPr>
          <w:rFonts w:ascii="Times New Roman"/>
          <w:snapToGrid w:val="0"/>
          <w:color w:val="000000"/>
          <w:kern w:val="0"/>
          <w:sz w:val="24"/>
          <w:vertAlign w:val="subscript"/>
        </w:rPr>
        <w:t>4</w:t>
      </w:r>
      <w:r>
        <w:rPr>
          <w:rFonts w:ascii="Times New Roman"/>
          <w:snapToGrid w:val="0"/>
          <w:color w:val="000000"/>
          <w:kern w:val="0"/>
          <w:sz w:val="24"/>
        </w:rPr>
        <w:t>占农业温室气体总排放的40%。此外，我国稻田因长期重种轻养、化肥不合理使用等，导致中低产田占比较高，严重制约了粮食增产。其中长江中下游双季稻存在红黄壤酸瘦、耕层浅薄、水稻土冷浸渍水、还原性物质毒害、养分低效且易损失等问题，中低产田比例超过65％。因此减少稻田氮流失和CH</w:t>
      </w:r>
      <w:r>
        <w:rPr>
          <w:rFonts w:ascii="Times New Roman"/>
          <w:snapToGrid w:val="0"/>
          <w:color w:val="000000"/>
          <w:kern w:val="0"/>
          <w:sz w:val="24"/>
          <w:vertAlign w:val="subscript"/>
        </w:rPr>
        <w:t>4</w:t>
      </w:r>
      <w:r>
        <w:rPr>
          <w:rFonts w:ascii="Times New Roman"/>
          <w:snapToGrid w:val="0"/>
          <w:color w:val="000000"/>
          <w:kern w:val="0"/>
          <w:sz w:val="24"/>
        </w:rPr>
        <w:t>排放的同时实现土壤保育是我国农业绿色发展和减污降碳急需突破的</w:t>
      </w:r>
      <w:r>
        <w:rPr>
          <w:rFonts w:hint="eastAsia" w:ascii="Times New Roman"/>
          <w:snapToGrid w:val="0"/>
          <w:color w:val="000000"/>
          <w:kern w:val="0"/>
          <w:sz w:val="24"/>
          <w:lang w:eastAsia="zh-CN"/>
        </w:rPr>
        <w:t>“卡脖子”问题</w:t>
      </w:r>
      <w:r>
        <w:rPr>
          <w:rFonts w:ascii="Times New Roman"/>
          <w:snapToGrid w:val="0"/>
          <w:color w:val="000000"/>
          <w:kern w:val="0"/>
          <w:sz w:val="24"/>
        </w:rPr>
        <w:t>。</w:t>
      </w:r>
    </w:p>
    <w:p w14:paraId="147FD7D8">
      <w:pPr>
        <w:spacing w:line="360" w:lineRule="auto"/>
        <w:ind w:firstLine="480" w:firstLineChars="200"/>
        <w:outlineLvl w:val="1"/>
        <w:rPr>
          <w:rFonts w:eastAsia="楷体"/>
          <w:b/>
          <w:bCs/>
          <w:sz w:val="24"/>
          <w:szCs w:val="24"/>
        </w:rPr>
      </w:pPr>
      <w:r>
        <w:rPr>
          <w:rFonts w:eastAsia="楷体"/>
          <w:b/>
          <w:bCs/>
          <w:sz w:val="24"/>
          <w:szCs w:val="24"/>
        </w:rPr>
        <w:t>（三）</w:t>
      </w:r>
      <w:r>
        <w:rPr>
          <w:rFonts w:hint="eastAsia" w:eastAsia="楷体"/>
          <w:b/>
          <w:bCs/>
          <w:sz w:val="24"/>
          <w:szCs w:val="24"/>
        </w:rPr>
        <w:t>起草过程</w:t>
      </w:r>
    </w:p>
    <w:p w14:paraId="07882737">
      <w:pPr>
        <w:pStyle w:val="7"/>
        <w:spacing w:line="360" w:lineRule="auto"/>
        <w:ind w:firstLine="480"/>
        <w:rPr>
          <w:rFonts w:ascii="Times New Roman"/>
          <w:snapToGrid w:val="0"/>
          <w:color w:val="000000"/>
          <w:kern w:val="0"/>
          <w:sz w:val="24"/>
        </w:rPr>
      </w:pPr>
      <w:r>
        <w:rPr>
          <w:rFonts w:ascii="Times New Roman"/>
          <w:snapToGrid w:val="0"/>
          <w:color w:val="000000"/>
          <w:kern w:val="0"/>
          <w:sz w:val="24"/>
        </w:rPr>
        <w:t>中国农业科学院农业资源与农业区划研究所、</w:t>
      </w:r>
      <w:bookmarkStart w:id="1" w:name="_Hlk152321511"/>
      <w:r>
        <w:rPr>
          <w:rFonts w:ascii="Times New Roman"/>
          <w:snapToGrid w:val="0"/>
          <w:color w:val="000000"/>
          <w:kern w:val="0"/>
          <w:sz w:val="24"/>
        </w:rPr>
        <w:t>江西省农业科学院土壤肥料与资源环境研究所、</w:t>
      </w:r>
      <w:bookmarkStart w:id="2" w:name="_Hlk175043119"/>
      <w:r>
        <w:rPr>
          <w:rFonts w:ascii="Times New Roman"/>
          <w:snapToGrid w:val="0"/>
          <w:color w:val="000000"/>
          <w:kern w:val="0"/>
          <w:sz w:val="24"/>
        </w:rPr>
        <w:t>湖北省农业科学院植保土肥研究所</w:t>
      </w:r>
      <w:bookmarkEnd w:id="2"/>
      <w:r>
        <w:rPr>
          <w:rFonts w:ascii="Times New Roman"/>
          <w:snapToGrid w:val="0"/>
          <w:color w:val="000000"/>
          <w:kern w:val="0"/>
          <w:sz w:val="24"/>
        </w:rPr>
        <w:t>。</w:t>
      </w:r>
    </w:p>
    <w:bookmarkEnd w:id="1"/>
    <w:p w14:paraId="0D552B7C">
      <w:pPr>
        <w:spacing w:line="360" w:lineRule="auto"/>
        <w:ind w:firstLine="480" w:firstLineChars="200"/>
        <w:outlineLvl w:val="1"/>
        <w:rPr>
          <w:rFonts w:eastAsia="楷体"/>
          <w:b/>
          <w:bCs/>
          <w:sz w:val="24"/>
          <w:szCs w:val="24"/>
        </w:rPr>
      </w:pPr>
      <w:r>
        <w:rPr>
          <w:rFonts w:eastAsia="楷体"/>
          <w:b/>
          <w:bCs/>
          <w:sz w:val="24"/>
          <w:szCs w:val="24"/>
        </w:rPr>
        <w:t>（四）编写人员与分工</w:t>
      </w:r>
    </w:p>
    <w:p w14:paraId="1771DC40">
      <w:pPr>
        <w:spacing w:line="360" w:lineRule="auto"/>
        <w:ind w:firstLine="480" w:firstLineChars="200"/>
        <w:rPr>
          <w:snapToGrid w:val="0"/>
          <w:color w:val="000000"/>
          <w:kern w:val="0"/>
          <w:sz w:val="24"/>
          <w:szCs w:val="24"/>
        </w:rPr>
      </w:pPr>
      <w:r>
        <w:rPr>
          <w:snapToGrid w:val="0"/>
          <w:color w:val="000000"/>
          <w:kern w:val="0"/>
          <w:sz w:val="24"/>
          <w:szCs w:val="24"/>
        </w:rPr>
        <w:t>标准制定过程主要由中国农业科学院农业资源与农业区划研究所、江西省农业科学院土壤肥料与资源环境研究所、湖北省农业科学院植保土肥研究所等单位的人员参与资料收集、技术调研、数据处理、文本完成等工作。</w:t>
      </w:r>
    </w:p>
    <w:p w14:paraId="061B34D2">
      <w:pPr>
        <w:spacing w:line="360" w:lineRule="auto"/>
        <w:jc w:val="center"/>
        <w:rPr>
          <w:b/>
          <w:bCs/>
          <w:snapToGrid w:val="0"/>
          <w:color w:val="000000"/>
          <w:kern w:val="0"/>
          <w:sz w:val="24"/>
          <w:szCs w:val="24"/>
        </w:rPr>
      </w:pPr>
      <w:r>
        <w:rPr>
          <w:b/>
          <w:bCs/>
          <w:snapToGrid w:val="0"/>
          <w:color w:val="000000"/>
          <w:kern w:val="0"/>
          <w:sz w:val="24"/>
          <w:szCs w:val="24"/>
        </w:rPr>
        <w:t>表1. 主要起草人员信息及任务分工</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707"/>
        <w:gridCol w:w="2695"/>
        <w:gridCol w:w="1179"/>
        <w:gridCol w:w="1582"/>
        <w:gridCol w:w="1398"/>
      </w:tblGrid>
      <w:tr w14:paraId="17F5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64" w:type="pct"/>
            <w:vAlign w:val="center"/>
          </w:tcPr>
          <w:p w14:paraId="5CC6028A">
            <w:pPr>
              <w:adjustRightInd w:val="0"/>
              <w:spacing w:line="360" w:lineRule="auto"/>
              <w:jc w:val="center"/>
              <w:rPr>
                <w:rFonts w:eastAsia="仿宋"/>
                <w:b/>
                <w:color w:val="000000"/>
                <w:szCs w:val="21"/>
              </w:rPr>
            </w:pPr>
            <w:r>
              <w:rPr>
                <w:rFonts w:eastAsia="仿宋"/>
                <w:b/>
                <w:color w:val="000000"/>
                <w:szCs w:val="21"/>
              </w:rPr>
              <w:t>姓名</w:t>
            </w:r>
          </w:p>
        </w:tc>
        <w:tc>
          <w:tcPr>
            <w:tcW w:w="415" w:type="pct"/>
            <w:vAlign w:val="center"/>
          </w:tcPr>
          <w:p w14:paraId="335C4AB4">
            <w:pPr>
              <w:adjustRightInd w:val="0"/>
              <w:spacing w:line="360" w:lineRule="auto"/>
              <w:jc w:val="center"/>
              <w:rPr>
                <w:rFonts w:eastAsia="仿宋"/>
                <w:b/>
                <w:color w:val="000000"/>
                <w:szCs w:val="21"/>
              </w:rPr>
            </w:pPr>
            <w:r>
              <w:rPr>
                <w:rFonts w:eastAsia="仿宋"/>
                <w:b/>
                <w:color w:val="000000"/>
                <w:szCs w:val="21"/>
              </w:rPr>
              <w:t>性别</w:t>
            </w:r>
          </w:p>
        </w:tc>
        <w:tc>
          <w:tcPr>
            <w:tcW w:w="1581" w:type="pct"/>
            <w:vAlign w:val="center"/>
          </w:tcPr>
          <w:p w14:paraId="76AAA006">
            <w:pPr>
              <w:adjustRightInd w:val="0"/>
              <w:spacing w:line="360" w:lineRule="auto"/>
              <w:jc w:val="center"/>
              <w:rPr>
                <w:rFonts w:eastAsia="仿宋"/>
                <w:b/>
                <w:color w:val="000000"/>
                <w:szCs w:val="21"/>
              </w:rPr>
            </w:pPr>
            <w:r>
              <w:rPr>
                <w:rFonts w:eastAsia="仿宋"/>
                <w:b/>
                <w:color w:val="000000"/>
                <w:szCs w:val="21"/>
              </w:rPr>
              <w:t>工作单位</w:t>
            </w:r>
          </w:p>
        </w:tc>
        <w:tc>
          <w:tcPr>
            <w:tcW w:w="692" w:type="pct"/>
            <w:vAlign w:val="center"/>
          </w:tcPr>
          <w:p w14:paraId="0AC9EEB5">
            <w:pPr>
              <w:adjustRightInd w:val="0"/>
              <w:spacing w:line="360" w:lineRule="auto"/>
              <w:jc w:val="center"/>
              <w:rPr>
                <w:rFonts w:eastAsia="仿宋"/>
                <w:b/>
                <w:color w:val="000000"/>
                <w:szCs w:val="21"/>
              </w:rPr>
            </w:pPr>
            <w:r>
              <w:rPr>
                <w:rFonts w:eastAsia="仿宋"/>
                <w:b/>
                <w:color w:val="000000"/>
                <w:szCs w:val="21"/>
              </w:rPr>
              <w:t>职称/职务</w:t>
            </w:r>
          </w:p>
        </w:tc>
        <w:tc>
          <w:tcPr>
            <w:tcW w:w="928" w:type="pct"/>
            <w:vAlign w:val="center"/>
          </w:tcPr>
          <w:p w14:paraId="7FD75836">
            <w:pPr>
              <w:adjustRightInd w:val="0"/>
              <w:spacing w:line="360" w:lineRule="auto"/>
              <w:jc w:val="center"/>
              <w:rPr>
                <w:rFonts w:eastAsia="仿宋"/>
                <w:b/>
                <w:color w:val="000000"/>
                <w:szCs w:val="21"/>
              </w:rPr>
            </w:pPr>
            <w:r>
              <w:rPr>
                <w:rFonts w:eastAsia="仿宋"/>
                <w:b/>
                <w:color w:val="000000"/>
                <w:szCs w:val="21"/>
              </w:rPr>
              <w:t>项目分工</w:t>
            </w:r>
          </w:p>
        </w:tc>
        <w:tc>
          <w:tcPr>
            <w:tcW w:w="820" w:type="pct"/>
            <w:vAlign w:val="center"/>
          </w:tcPr>
          <w:p w14:paraId="0360143F">
            <w:pPr>
              <w:adjustRightInd w:val="0"/>
              <w:spacing w:line="360" w:lineRule="auto"/>
              <w:jc w:val="center"/>
              <w:rPr>
                <w:rFonts w:eastAsia="仿宋"/>
                <w:b/>
                <w:color w:val="000000"/>
                <w:szCs w:val="21"/>
              </w:rPr>
            </w:pPr>
            <w:r>
              <w:rPr>
                <w:rFonts w:eastAsia="仿宋"/>
                <w:b/>
                <w:color w:val="000000"/>
                <w:szCs w:val="21"/>
              </w:rPr>
              <w:t>联系电话</w:t>
            </w:r>
          </w:p>
        </w:tc>
      </w:tr>
      <w:tr w14:paraId="3C58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564" w:type="pct"/>
            <w:vAlign w:val="center"/>
          </w:tcPr>
          <w:p w14:paraId="39DD2A0C">
            <w:pPr>
              <w:adjustRightInd w:val="0"/>
              <w:spacing w:line="360" w:lineRule="auto"/>
              <w:jc w:val="center"/>
              <w:rPr>
                <w:rFonts w:eastAsia="仿宋"/>
                <w:color w:val="000000"/>
                <w:szCs w:val="21"/>
              </w:rPr>
            </w:pPr>
            <w:r>
              <w:rPr>
                <w:rFonts w:eastAsia="仿宋"/>
                <w:color w:val="000000"/>
                <w:szCs w:val="21"/>
              </w:rPr>
              <w:t>刘宏斌</w:t>
            </w:r>
          </w:p>
        </w:tc>
        <w:tc>
          <w:tcPr>
            <w:tcW w:w="415" w:type="pct"/>
            <w:vAlign w:val="center"/>
          </w:tcPr>
          <w:p w14:paraId="74A2EA71">
            <w:pPr>
              <w:adjustRightInd w:val="0"/>
              <w:spacing w:line="360" w:lineRule="auto"/>
              <w:jc w:val="center"/>
              <w:rPr>
                <w:rFonts w:eastAsia="仿宋"/>
                <w:color w:val="000000"/>
                <w:szCs w:val="21"/>
              </w:rPr>
            </w:pPr>
            <w:r>
              <w:rPr>
                <w:rFonts w:eastAsia="仿宋"/>
                <w:color w:val="000000"/>
                <w:szCs w:val="21"/>
              </w:rPr>
              <w:t>男</w:t>
            </w:r>
          </w:p>
        </w:tc>
        <w:tc>
          <w:tcPr>
            <w:tcW w:w="1581" w:type="pct"/>
            <w:vAlign w:val="center"/>
          </w:tcPr>
          <w:p w14:paraId="2908FA52">
            <w:pPr>
              <w:adjustRightInd w:val="0"/>
              <w:spacing w:line="360" w:lineRule="auto"/>
              <w:jc w:val="center"/>
              <w:rPr>
                <w:rFonts w:eastAsia="仿宋"/>
                <w:color w:val="000000"/>
                <w:szCs w:val="21"/>
              </w:rPr>
            </w:pPr>
            <w:r>
              <w:rPr>
                <w:rFonts w:eastAsia="仿宋"/>
                <w:color w:val="000000"/>
                <w:szCs w:val="21"/>
              </w:rPr>
              <w:t>中国农业科学院农业资源与农业区划研究所</w:t>
            </w:r>
          </w:p>
        </w:tc>
        <w:tc>
          <w:tcPr>
            <w:tcW w:w="692" w:type="pct"/>
            <w:vAlign w:val="center"/>
          </w:tcPr>
          <w:p w14:paraId="5877ECA3">
            <w:pPr>
              <w:adjustRightInd w:val="0"/>
              <w:spacing w:line="360" w:lineRule="auto"/>
              <w:jc w:val="center"/>
              <w:rPr>
                <w:rFonts w:eastAsia="仿宋"/>
                <w:color w:val="000000"/>
                <w:szCs w:val="21"/>
              </w:rPr>
            </w:pPr>
            <w:r>
              <w:rPr>
                <w:rFonts w:eastAsia="仿宋"/>
                <w:color w:val="000000"/>
                <w:szCs w:val="21"/>
              </w:rPr>
              <w:t>研究员</w:t>
            </w:r>
          </w:p>
        </w:tc>
        <w:tc>
          <w:tcPr>
            <w:tcW w:w="928" w:type="pct"/>
            <w:vAlign w:val="center"/>
          </w:tcPr>
          <w:p w14:paraId="0BBE02AF">
            <w:pPr>
              <w:adjustRightInd w:val="0"/>
              <w:spacing w:line="360" w:lineRule="auto"/>
              <w:jc w:val="center"/>
              <w:rPr>
                <w:rFonts w:eastAsia="仿宋"/>
                <w:color w:val="000000"/>
                <w:szCs w:val="21"/>
              </w:rPr>
            </w:pPr>
            <w:r>
              <w:rPr>
                <w:rFonts w:eastAsia="仿宋"/>
                <w:color w:val="000000"/>
                <w:szCs w:val="21"/>
              </w:rPr>
              <w:t>负责人，组织制定</w:t>
            </w:r>
          </w:p>
        </w:tc>
        <w:tc>
          <w:tcPr>
            <w:tcW w:w="820" w:type="pct"/>
            <w:vAlign w:val="center"/>
          </w:tcPr>
          <w:p w14:paraId="1379A268">
            <w:pPr>
              <w:adjustRightInd w:val="0"/>
              <w:spacing w:line="360" w:lineRule="auto"/>
              <w:jc w:val="center"/>
              <w:rPr>
                <w:rFonts w:eastAsia="仿宋"/>
                <w:color w:val="000000"/>
                <w:szCs w:val="21"/>
              </w:rPr>
            </w:pPr>
            <w:r>
              <w:rPr>
                <w:rFonts w:eastAsia="仿宋"/>
                <w:color w:val="000000"/>
                <w:szCs w:val="21"/>
              </w:rPr>
              <w:t>13911095956</w:t>
            </w:r>
          </w:p>
        </w:tc>
      </w:tr>
      <w:tr w14:paraId="1285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564" w:type="pct"/>
            <w:vAlign w:val="center"/>
          </w:tcPr>
          <w:p w14:paraId="1F52A9DD">
            <w:pPr>
              <w:adjustRightInd w:val="0"/>
              <w:spacing w:line="360" w:lineRule="auto"/>
              <w:jc w:val="center"/>
              <w:rPr>
                <w:rFonts w:eastAsia="仿宋"/>
                <w:color w:val="000000"/>
                <w:szCs w:val="21"/>
              </w:rPr>
            </w:pPr>
            <w:r>
              <w:rPr>
                <w:rFonts w:eastAsia="仿宋"/>
                <w:color w:val="000000"/>
                <w:szCs w:val="21"/>
              </w:rPr>
              <w:t>翟丽梅</w:t>
            </w:r>
          </w:p>
        </w:tc>
        <w:tc>
          <w:tcPr>
            <w:tcW w:w="415" w:type="pct"/>
            <w:vAlign w:val="center"/>
          </w:tcPr>
          <w:p w14:paraId="414B3A48">
            <w:pPr>
              <w:adjustRightInd w:val="0"/>
              <w:spacing w:line="360" w:lineRule="auto"/>
              <w:jc w:val="center"/>
              <w:rPr>
                <w:rFonts w:eastAsia="仿宋"/>
                <w:color w:val="000000"/>
                <w:szCs w:val="21"/>
              </w:rPr>
            </w:pPr>
            <w:r>
              <w:rPr>
                <w:rFonts w:eastAsia="仿宋"/>
                <w:color w:val="000000"/>
                <w:szCs w:val="21"/>
              </w:rPr>
              <w:t>女</w:t>
            </w:r>
          </w:p>
        </w:tc>
        <w:tc>
          <w:tcPr>
            <w:tcW w:w="1581" w:type="pct"/>
            <w:vAlign w:val="center"/>
          </w:tcPr>
          <w:p w14:paraId="7E07C26E">
            <w:pPr>
              <w:adjustRightInd w:val="0"/>
              <w:spacing w:line="360" w:lineRule="auto"/>
              <w:jc w:val="center"/>
              <w:rPr>
                <w:rFonts w:eastAsia="仿宋"/>
                <w:color w:val="000000"/>
                <w:szCs w:val="21"/>
              </w:rPr>
            </w:pPr>
            <w:r>
              <w:rPr>
                <w:rFonts w:eastAsia="仿宋"/>
                <w:color w:val="000000"/>
                <w:szCs w:val="21"/>
              </w:rPr>
              <w:t>中国农业科学院农业资源与农业区划研究所</w:t>
            </w:r>
          </w:p>
        </w:tc>
        <w:tc>
          <w:tcPr>
            <w:tcW w:w="692" w:type="pct"/>
            <w:vAlign w:val="center"/>
          </w:tcPr>
          <w:p w14:paraId="0ABAF3D8">
            <w:pPr>
              <w:adjustRightInd w:val="0"/>
              <w:spacing w:line="360" w:lineRule="auto"/>
              <w:jc w:val="center"/>
              <w:rPr>
                <w:rFonts w:eastAsia="仿宋"/>
                <w:color w:val="000000"/>
                <w:szCs w:val="21"/>
              </w:rPr>
            </w:pPr>
            <w:r>
              <w:rPr>
                <w:rFonts w:eastAsia="仿宋"/>
                <w:color w:val="000000"/>
                <w:szCs w:val="21"/>
              </w:rPr>
              <w:t>研究员</w:t>
            </w:r>
          </w:p>
        </w:tc>
        <w:tc>
          <w:tcPr>
            <w:tcW w:w="928" w:type="pct"/>
            <w:vAlign w:val="center"/>
          </w:tcPr>
          <w:p w14:paraId="41295EF0">
            <w:pPr>
              <w:adjustRightInd w:val="0"/>
              <w:spacing w:line="360" w:lineRule="auto"/>
              <w:jc w:val="center"/>
              <w:rPr>
                <w:rFonts w:eastAsia="仿宋"/>
                <w:color w:val="000000"/>
                <w:szCs w:val="21"/>
              </w:rPr>
            </w:pPr>
            <w:r>
              <w:rPr>
                <w:rFonts w:eastAsia="仿宋"/>
                <w:color w:val="000000"/>
                <w:szCs w:val="21"/>
              </w:rPr>
              <w:t>负责文本撰写</w:t>
            </w:r>
          </w:p>
        </w:tc>
        <w:tc>
          <w:tcPr>
            <w:tcW w:w="820" w:type="pct"/>
            <w:vAlign w:val="center"/>
          </w:tcPr>
          <w:p w14:paraId="6B2C033D">
            <w:pPr>
              <w:adjustRightInd w:val="0"/>
              <w:spacing w:line="360" w:lineRule="auto"/>
              <w:jc w:val="center"/>
              <w:rPr>
                <w:rFonts w:eastAsia="仿宋"/>
                <w:color w:val="000000"/>
                <w:szCs w:val="21"/>
              </w:rPr>
            </w:pPr>
            <w:r>
              <w:rPr>
                <w:rFonts w:eastAsia="仿宋"/>
                <w:color w:val="000000"/>
                <w:szCs w:val="21"/>
              </w:rPr>
              <w:t>13811331970</w:t>
            </w:r>
          </w:p>
        </w:tc>
      </w:tr>
      <w:tr w14:paraId="293B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564" w:type="pct"/>
            <w:vAlign w:val="center"/>
          </w:tcPr>
          <w:p w14:paraId="18C818A0">
            <w:pPr>
              <w:adjustRightInd w:val="0"/>
              <w:spacing w:line="360" w:lineRule="auto"/>
              <w:jc w:val="center"/>
              <w:rPr>
                <w:rFonts w:eastAsia="仿宋"/>
                <w:color w:val="000000"/>
                <w:szCs w:val="21"/>
              </w:rPr>
            </w:pPr>
            <w:r>
              <w:rPr>
                <w:rFonts w:eastAsia="仿宋"/>
                <w:color w:val="000000"/>
                <w:szCs w:val="21"/>
              </w:rPr>
              <w:t>王洪媛</w:t>
            </w:r>
          </w:p>
        </w:tc>
        <w:tc>
          <w:tcPr>
            <w:tcW w:w="415" w:type="pct"/>
            <w:vAlign w:val="center"/>
          </w:tcPr>
          <w:p w14:paraId="4F6577A8">
            <w:pPr>
              <w:adjustRightInd w:val="0"/>
              <w:spacing w:line="360" w:lineRule="auto"/>
              <w:jc w:val="center"/>
              <w:rPr>
                <w:rFonts w:eastAsia="仿宋"/>
                <w:color w:val="000000"/>
                <w:szCs w:val="21"/>
              </w:rPr>
            </w:pPr>
            <w:r>
              <w:rPr>
                <w:rFonts w:eastAsia="仿宋"/>
                <w:color w:val="000000"/>
                <w:szCs w:val="21"/>
              </w:rPr>
              <w:t>女</w:t>
            </w:r>
          </w:p>
        </w:tc>
        <w:tc>
          <w:tcPr>
            <w:tcW w:w="1581" w:type="pct"/>
            <w:vAlign w:val="center"/>
          </w:tcPr>
          <w:p w14:paraId="02AC5774">
            <w:pPr>
              <w:adjustRightInd w:val="0"/>
              <w:spacing w:line="360" w:lineRule="auto"/>
              <w:jc w:val="center"/>
              <w:rPr>
                <w:rFonts w:eastAsia="仿宋"/>
                <w:color w:val="000000"/>
                <w:szCs w:val="21"/>
              </w:rPr>
            </w:pPr>
            <w:r>
              <w:rPr>
                <w:rFonts w:eastAsia="仿宋"/>
                <w:color w:val="000000"/>
                <w:szCs w:val="21"/>
              </w:rPr>
              <w:t>中国农业科学院农业资源与农业区划研究所</w:t>
            </w:r>
          </w:p>
        </w:tc>
        <w:tc>
          <w:tcPr>
            <w:tcW w:w="692" w:type="pct"/>
            <w:vAlign w:val="center"/>
          </w:tcPr>
          <w:p w14:paraId="28A3B471">
            <w:pPr>
              <w:adjustRightInd w:val="0"/>
              <w:spacing w:line="360" w:lineRule="auto"/>
              <w:jc w:val="center"/>
              <w:rPr>
                <w:rFonts w:eastAsia="仿宋"/>
                <w:color w:val="000000"/>
                <w:szCs w:val="21"/>
              </w:rPr>
            </w:pPr>
            <w:r>
              <w:rPr>
                <w:rFonts w:eastAsia="仿宋"/>
                <w:color w:val="000000"/>
                <w:szCs w:val="21"/>
              </w:rPr>
              <w:t>研究员</w:t>
            </w:r>
          </w:p>
        </w:tc>
        <w:tc>
          <w:tcPr>
            <w:tcW w:w="928" w:type="pct"/>
            <w:vAlign w:val="center"/>
          </w:tcPr>
          <w:p w14:paraId="2B4E087B">
            <w:pPr>
              <w:adjustRightInd w:val="0"/>
              <w:spacing w:line="360" w:lineRule="auto"/>
              <w:jc w:val="center"/>
              <w:rPr>
                <w:rFonts w:eastAsia="仿宋"/>
                <w:color w:val="000000"/>
                <w:szCs w:val="21"/>
              </w:rPr>
            </w:pPr>
            <w:r>
              <w:rPr>
                <w:rFonts w:eastAsia="仿宋"/>
                <w:color w:val="000000"/>
                <w:szCs w:val="21"/>
              </w:rPr>
              <w:t>文献资料调研</w:t>
            </w:r>
          </w:p>
        </w:tc>
        <w:tc>
          <w:tcPr>
            <w:tcW w:w="820" w:type="pct"/>
            <w:vAlign w:val="center"/>
          </w:tcPr>
          <w:p w14:paraId="6BA80E5A">
            <w:pPr>
              <w:adjustRightInd w:val="0"/>
              <w:spacing w:line="360" w:lineRule="auto"/>
              <w:jc w:val="center"/>
              <w:rPr>
                <w:rFonts w:eastAsia="仿宋"/>
                <w:color w:val="000000"/>
                <w:szCs w:val="21"/>
              </w:rPr>
            </w:pPr>
            <w:r>
              <w:rPr>
                <w:rFonts w:eastAsia="仿宋"/>
                <w:color w:val="000000"/>
                <w:szCs w:val="21"/>
              </w:rPr>
              <w:t>18600282261</w:t>
            </w:r>
          </w:p>
        </w:tc>
      </w:tr>
      <w:tr w14:paraId="424A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564" w:type="pct"/>
            <w:vAlign w:val="center"/>
          </w:tcPr>
          <w:p w14:paraId="6D42F617">
            <w:pPr>
              <w:adjustRightInd w:val="0"/>
              <w:spacing w:line="360" w:lineRule="auto"/>
              <w:jc w:val="center"/>
              <w:rPr>
                <w:rFonts w:eastAsia="仿宋"/>
                <w:color w:val="000000"/>
                <w:szCs w:val="21"/>
              </w:rPr>
            </w:pPr>
            <w:r>
              <w:rPr>
                <w:rFonts w:eastAsia="仿宋"/>
                <w:color w:val="000000"/>
                <w:szCs w:val="21"/>
              </w:rPr>
              <w:t>张富林</w:t>
            </w:r>
          </w:p>
        </w:tc>
        <w:tc>
          <w:tcPr>
            <w:tcW w:w="415" w:type="pct"/>
            <w:vAlign w:val="center"/>
          </w:tcPr>
          <w:p w14:paraId="3CE7C17F">
            <w:pPr>
              <w:adjustRightInd w:val="0"/>
              <w:spacing w:line="360" w:lineRule="auto"/>
              <w:jc w:val="center"/>
              <w:rPr>
                <w:rFonts w:eastAsia="仿宋"/>
                <w:color w:val="000000"/>
                <w:szCs w:val="21"/>
              </w:rPr>
            </w:pPr>
            <w:r>
              <w:rPr>
                <w:rFonts w:eastAsia="仿宋"/>
                <w:color w:val="000000"/>
                <w:szCs w:val="21"/>
              </w:rPr>
              <w:t>男</w:t>
            </w:r>
          </w:p>
        </w:tc>
        <w:tc>
          <w:tcPr>
            <w:tcW w:w="1581" w:type="pct"/>
            <w:vAlign w:val="center"/>
          </w:tcPr>
          <w:p w14:paraId="21F709C4">
            <w:pPr>
              <w:adjustRightInd w:val="0"/>
              <w:spacing w:line="360" w:lineRule="auto"/>
              <w:jc w:val="center"/>
              <w:rPr>
                <w:rFonts w:eastAsia="仿宋"/>
                <w:color w:val="000000"/>
                <w:szCs w:val="21"/>
              </w:rPr>
            </w:pPr>
            <w:r>
              <w:rPr>
                <w:rFonts w:eastAsia="仿宋"/>
                <w:color w:val="000000"/>
                <w:szCs w:val="21"/>
              </w:rPr>
              <w:t>湖北省农业科学院植保土肥研究所</w:t>
            </w:r>
          </w:p>
        </w:tc>
        <w:tc>
          <w:tcPr>
            <w:tcW w:w="692" w:type="pct"/>
            <w:vAlign w:val="center"/>
          </w:tcPr>
          <w:p w14:paraId="1D3E7BDF">
            <w:pPr>
              <w:adjustRightInd w:val="0"/>
              <w:spacing w:line="360" w:lineRule="auto"/>
              <w:jc w:val="center"/>
              <w:rPr>
                <w:rFonts w:eastAsia="仿宋"/>
                <w:color w:val="000000"/>
                <w:szCs w:val="21"/>
              </w:rPr>
            </w:pPr>
            <w:r>
              <w:rPr>
                <w:rFonts w:eastAsia="仿宋"/>
                <w:color w:val="000000"/>
                <w:szCs w:val="21"/>
              </w:rPr>
              <w:t>研究员</w:t>
            </w:r>
          </w:p>
        </w:tc>
        <w:tc>
          <w:tcPr>
            <w:tcW w:w="928" w:type="pct"/>
            <w:vAlign w:val="center"/>
          </w:tcPr>
          <w:p w14:paraId="0122E16C">
            <w:pPr>
              <w:adjustRightInd w:val="0"/>
              <w:spacing w:line="360" w:lineRule="auto"/>
              <w:jc w:val="center"/>
              <w:rPr>
                <w:rFonts w:eastAsia="仿宋"/>
                <w:color w:val="000000"/>
                <w:szCs w:val="21"/>
              </w:rPr>
            </w:pPr>
            <w:r>
              <w:rPr>
                <w:rFonts w:eastAsia="仿宋"/>
                <w:color w:val="000000"/>
                <w:szCs w:val="21"/>
              </w:rPr>
              <w:t>技术调研</w:t>
            </w:r>
          </w:p>
        </w:tc>
        <w:tc>
          <w:tcPr>
            <w:tcW w:w="820" w:type="pct"/>
            <w:vAlign w:val="center"/>
          </w:tcPr>
          <w:p w14:paraId="322EA3AF">
            <w:pPr>
              <w:adjustRightInd w:val="0"/>
              <w:spacing w:line="360" w:lineRule="auto"/>
              <w:jc w:val="center"/>
              <w:rPr>
                <w:rFonts w:eastAsia="仿宋"/>
                <w:color w:val="000000"/>
                <w:szCs w:val="21"/>
              </w:rPr>
            </w:pPr>
            <w:r>
              <w:rPr>
                <w:rFonts w:eastAsia="仿宋"/>
                <w:color w:val="000000"/>
                <w:szCs w:val="21"/>
              </w:rPr>
              <w:t>13545036815</w:t>
            </w:r>
          </w:p>
        </w:tc>
      </w:tr>
      <w:tr w14:paraId="185E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564" w:type="pct"/>
            <w:vAlign w:val="center"/>
          </w:tcPr>
          <w:p w14:paraId="33B7487B">
            <w:pPr>
              <w:adjustRightInd w:val="0"/>
              <w:spacing w:line="360" w:lineRule="auto"/>
              <w:jc w:val="center"/>
              <w:rPr>
                <w:rFonts w:eastAsia="仿宋"/>
                <w:color w:val="000000"/>
                <w:szCs w:val="21"/>
              </w:rPr>
            </w:pPr>
            <w:r>
              <w:rPr>
                <w:rFonts w:eastAsia="仿宋"/>
                <w:color w:val="000000"/>
                <w:szCs w:val="21"/>
              </w:rPr>
              <w:t>陈静蕊</w:t>
            </w:r>
          </w:p>
        </w:tc>
        <w:tc>
          <w:tcPr>
            <w:tcW w:w="415" w:type="pct"/>
            <w:vAlign w:val="center"/>
          </w:tcPr>
          <w:p w14:paraId="19646104">
            <w:pPr>
              <w:adjustRightInd w:val="0"/>
              <w:spacing w:line="360" w:lineRule="auto"/>
              <w:jc w:val="center"/>
              <w:rPr>
                <w:rFonts w:eastAsia="仿宋"/>
                <w:color w:val="000000"/>
                <w:szCs w:val="21"/>
              </w:rPr>
            </w:pPr>
            <w:r>
              <w:rPr>
                <w:rFonts w:eastAsia="仿宋"/>
                <w:color w:val="000000"/>
                <w:szCs w:val="21"/>
              </w:rPr>
              <w:t>女</w:t>
            </w:r>
          </w:p>
        </w:tc>
        <w:tc>
          <w:tcPr>
            <w:tcW w:w="1581" w:type="pct"/>
            <w:vAlign w:val="center"/>
          </w:tcPr>
          <w:p w14:paraId="3AEA911F">
            <w:pPr>
              <w:adjustRightInd w:val="0"/>
              <w:spacing w:line="360" w:lineRule="auto"/>
              <w:jc w:val="center"/>
              <w:rPr>
                <w:rFonts w:eastAsia="仿宋"/>
                <w:color w:val="000000"/>
                <w:szCs w:val="21"/>
              </w:rPr>
            </w:pPr>
            <w:r>
              <w:rPr>
                <w:rFonts w:eastAsia="仿宋"/>
                <w:color w:val="000000"/>
                <w:szCs w:val="21"/>
              </w:rPr>
              <w:t>江西省农业科学院土壤肥料与资源环境研究所</w:t>
            </w:r>
          </w:p>
        </w:tc>
        <w:tc>
          <w:tcPr>
            <w:tcW w:w="692" w:type="pct"/>
            <w:vAlign w:val="center"/>
          </w:tcPr>
          <w:p w14:paraId="53CE34B7">
            <w:pPr>
              <w:adjustRightInd w:val="0"/>
              <w:spacing w:line="360" w:lineRule="auto"/>
              <w:jc w:val="center"/>
              <w:rPr>
                <w:rFonts w:eastAsia="仿宋"/>
                <w:color w:val="000000"/>
                <w:szCs w:val="21"/>
              </w:rPr>
            </w:pPr>
            <w:r>
              <w:rPr>
                <w:rFonts w:eastAsia="仿宋"/>
                <w:color w:val="000000"/>
                <w:szCs w:val="21"/>
              </w:rPr>
              <w:t>副研究员</w:t>
            </w:r>
          </w:p>
        </w:tc>
        <w:tc>
          <w:tcPr>
            <w:tcW w:w="928" w:type="pct"/>
            <w:vAlign w:val="center"/>
          </w:tcPr>
          <w:p w14:paraId="28C9443F">
            <w:pPr>
              <w:adjustRightInd w:val="0"/>
              <w:spacing w:line="360" w:lineRule="auto"/>
              <w:jc w:val="center"/>
              <w:rPr>
                <w:rFonts w:eastAsia="仿宋"/>
                <w:color w:val="000000"/>
                <w:szCs w:val="21"/>
              </w:rPr>
            </w:pPr>
            <w:r>
              <w:rPr>
                <w:rFonts w:eastAsia="仿宋"/>
                <w:color w:val="000000"/>
                <w:szCs w:val="21"/>
              </w:rPr>
              <w:t>技术调研</w:t>
            </w:r>
          </w:p>
        </w:tc>
        <w:tc>
          <w:tcPr>
            <w:tcW w:w="820" w:type="pct"/>
            <w:vAlign w:val="center"/>
          </w:tcPr>
          <w:p w14:paraId="4C4BF0B7">
            <w:pPr>
              <w:adjustRightInd w:val="0"/>
              <w:spacing w:line="360" w:lineRule="auto"/>
              <w:jc w:val="center"/>
              <w:rPr>
                <w:rFonts w:eastAsia="仿宋"/>
                <w:color w:val="000000"/>
                <w:szCs w:val="21"/>
              </w:rPr>
            </w:pPr>
            <w:r>
              <w:rPr>
                <w:rFonts w:eastAsia="仿宋"/>
                <w:color w:val="000000"/>
                <w:szCs w:val="21"/>
              </w:rPr>
              <w:t>15787838247</w:t>
            </w:r>
          </w:p>
        </w:tc>
      </w:tr>
      <w:tr w14:paraId="5B7E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564" w:type="pct"/>
            <w:vAlign w:val="center"/>
          </w:tcPr>
          <w:p w14:paraId="79E5855B">
            <w:pPr>
              <w:adjustRightInd w:val="0"/>
              <w:spacing w:line="360" w:lineRule="auto"/>
              <w:jc w:val="center"/>
              <w:rPr>
                <w:rFonts w:eastAsia="仿宋"/>
                <w:color w:val="000000"/>
                <w:szCs w:val="21"/>
              </w:rPr>
            </w:pPr>
            <w:r>
              <w:rPr>
                <w:rFonts w:eastAsia="仿宋"/>
                <w:color w:val="000000"/>
                <w:szCs w:val="21"/>
              </w:rPr>
              <w:t>樊秉乾</w:t>
            </w:r>
          </w:p>
        </w:tc>
        <w:tc>
          <w:tcPr>
            <w:tcW w:w="415" w:type="pct"/>
            <w:vAlign w:val="center"/>
          </w:tcPr>
          <w:p w14:paraId="7539EF50">
            <w:pPr>
              <w:adjustRightInd w:val="0"/>
              <w:spacing w:line="360" w:lineRule="auto"/>
              <w:jc w:val="center"/>
              <w:rPr>
                <w:rFonts w:eastAsia="仿宋"/>
                <w:color w:val="000000"/>
                <w:szCs w:val="21"/>
              </w:rPr>
            </w:pPr>
            <w:r>
              <w:rPr>
                <w:rFonts w:eastAsia="仿宋"/>
                <w:color w:val="000000"/>
                <w:szCs w:val="21"/>
              </w:rPr>
              <w:t>男</w:t>
            </w:r>
          </w:p>
        </w:tc>
        <w:tc>
          <w:tcPr>
            <w:tcW w:w="1581" w:type="pct"/>
            <w:vAlign w:val="center"/>
          </w:tcPr>
          <w:p w14:paraId="4A9EC89F">
            <w:pPr>
              <w:adjustRightInd w:val="0"/>
              <w:spacing w:line="360" w:lineRule="auto"/>
              <w:jc w:val="center"/>
              <w:rPr>
                <w:rFonts w:eastAsia="仿宋"/>
                <w:color w:val="000000"/>
                <w:szCs w:val="21"/>
              </w:rPr>
            </w:pPr>
            <w:r>
              <w:rPr>
                <w:rFonts w:eastAsia="仿宋"/>
                <w:color w:val="000000"/>
                <w:szCs w:val="21"/>
              </w:rPr>
              <w:t>中国农业科学院农业资源与农业区划研究所</w:t>
            </w:r>
          </w:p>
        </w:tc>
        <w:tc>
          <w:tcPr>
            <w:tcW w:w="692" w:type="pct"/>
            <w:vAlign w:val="center"/>
          </w:tcPr>
          <w:p w14:paraId="48835FA4">
            <w:pPr>
              <w:adjustRightInd w:val="0"/>
              <w:spacing w:line="360" w:lineRule="auto"/>
              <w:jc w:val="center"/>
              <w:rPr>
                <w:rFonts w:eastAsia="仿宋"/>
                <w:color w:val="000000"/>
                <w:szCs w:val="21"/>
              </w:rPr>
            </w:pPr>
            <w:r>
              <w:rPr>
                <w:rFonts w:eastAsia="仿宋"/>
                <w:color w:val="000000"/>
                <w:szCs w:val="21"/>
              </w:rPr>
              <w:t>副研究员</w:t>
            </w:r>
          </w:p>
        </w:tc>
        <w:tc>
          <w:tcPr>
            <w:tcW w:w="928" w:type="pct"/>
            <w:vAlign w:val="center"/>
          </w:tcPr>
          <w:p w14:paraId="72F8F549">
            <w:pPr>
              <w:adjustRightInd w:val="0"/>
              <w:spacing w:line="360" w:lineRule="auto"/>
              <w:jc w:val="center"/>
              <w:rPr>
                <w:rFonts w:eastAsia="仿宋"/>
                <w:color w:val="000000"/>
                <w:szCs w:val="21"/>
              </w:rPr>
            </w:pPr>
            <w:r>
              <w:rPr>
                <w:rFonts w:eastAsia="仿宋"/>
                <w:color w:val="000000"/>
                <w:szCs w:val="21"/>
              </w:rPr>
              <w:t>调研和文本起草</w:t>
            </w:r>
          </w:p>
        </w:tc>
        <w:tc>
          <w:tcPr>
            <w:tcW w:w="820" w:type="pct"/>
            <w:vAlign w:val="center"/>
          </w:tcPr>
          <w:p w14:paraId="53E6E223">
            <w:pPr>
              <w:adjustRightInd w:val="0"/>
              <w:spacing w:line="360" w:lineRule="auto"/>
              <w:jc w:val="center"/>
              <w:rPr>
                <w:rFonts w:eastAsia="仿宋"/>
                <w:color w:val="000000"/>
                <w:szCs w:val="21"/>
              </w:rPr>
            </w:pPr>
            <w:r>
              <w:rPr>
                <w:rFonts w:eastAsia="仿宋"/>
                <w:color w:val="000000"/>
                <w:szCs w:val="21"/>
              </w:rPr>
              <w:t>15600661186</w:t>
            </w:r>
          </w:p>
        </w:tc>
      </w:tr>
    </w:tbl>
    <w:p w14:paraId="1371C2BE">
      <w:pPr>
        <w:spacing w:line="360" w:lineRule="auto"/>
        <w:rPr>
          <w:b/>
          <w:bCs/>
          <w:snapToGrid w:val="0"/>
          <w:color w:val="000000"/>
          <w:kern w:val="0"/>
          <w:sz w:val="24"/>
          <w:szCs w:val="24"/>
        </w:rPr>
      </w:pPr>
    </w:p>
    <w:p w14:paraId="0E48BBEF">
      <w:pPr>
        <w:spacing w:line="360" w:lineRule="auto"/>
        <w:ind w:firstLine="480" w:firstLineChars="200"/>
        <w:outlineLvl w:val="1"/>
        <w:rPr>
          <w:rFonts w:eastAsia="楷体"/>
          <w:b/>
          <w:bCs/>
          <w:sz w:val="24"/>
          <w:szCs w:val="24"/>
        </w:rPr>
      </w:pPr>
      <w:r>
        <w:rPr>
          <w:rFonts w:eastAsia="楷体"/>
          <w:b/>
          <w:bCs/>
          <w:sz w:val="24"/>
          <w:szCs w:val="24"/>
        </w:rPr>
        <w:t>（五）主要工作过程</w:t>
      </w:r>
    </w:p>
    <w:p w14:paraId="175E6930">
      <w:pPr>
        <w:pStyle w:val="7"/>
        <w:spacing w:before="156" w:beforeLines="50" w:after="156" w:afterLines="50" w:line="360" w:lineRule="auto"/>
        <w:ind w:firstLine="482"/>
        <w:rPr>
          <w:rFonts w:ascii="Times New Roman"/>
          <w:b/>
          <w:bCs/>
          <w:snapToGrid w:val="0"/>
          <w:color w:val="000000"/>
          <w:kern w:val="0"/>
          <w:sz w:val="24"/>
        </w:rPr>
      </w:pPr>
      <w:r>
        <w:rPr>
          <w:rFonts w:ascii="Times New Roman"/>
          <w:b/>
          <w:bCs/>
          <w:snapToGrid w:val="0"/>
          <w:color w:val="000000"/>
          <w:kern w:val="0"/>
          <w:sz w:val="24"/>
        </w:rPr>
        <w:t>1. 国内外相关标准情况</w:t>
      </w:r>
    </w:p>
    <w:p w14:paraId="1BF6141B">
      <w:pPr>
        <w:pStyle w:val="7"/>
        <w:spacing w:line="360" w:lineRule="auto"/>
        <w:ind w:firstLine="480"/>
        <w:rPr>
          <w:rFonts w:ascii="Times New Roman"/>
          <w:snapToGrid w:val="0"/>
          <w:color w:val="000000"/>
          <w:kern w:val="0"/>
          <w:sz w:val="24"/>
        </w:rPr>
      </w:pPr>
      <w:r>
        <w:rPr>
          <w:rFonts w:ascii="Times New Roman"/>
          <w:snapToGrid w:val="0"/>
          <w:color w:val="000000"/>
          <w:kern w:val="0"/>
          <w:sz w:val="24"/>
        </w:rPr>
        <w:t>编制组在承担任务后，开展了广泛深入的资料调研和专家咨询，跟踪了国内外稻田土壤保育和碳氮减排技术的进展，分析了国内外相关标准规范的资料，包括相关的</w:t>
      </w:r>
      <w:r>
        <w:rPr>
          <w:rFonts w:hint="eastAsia" w:ascii="Times New Roman"/>
          <w:snapToGrid w:val="0"/>
          <w:color w:val="000000"/>
          <w:kern w:val="0"/>
          <w:sz w:val="24"/>
          <w:lang w:eastAsia="zh-CN"/>
        </w:rPr>
        <w:t>科研成果</w:t>
      </w:r>
      <w:r>
        <w:rPr>
          <w:rFonts w:ascii="Times New Roman"/>
          <w:snapToGrid w:val="0"/>
          <w:color w:val="000000"/>
          <w:kern w:val="0"/>
          <w:sz w:val="24"/>
        </w:rPr>
        <w:t>、各类导则、规范、标准等。</w:t>
      </w:r>
    </w:p>
    <w:p w14:paraId="4A6E1617">
      <w:pPr>
        <w:pStyle w:val="7"/>
        <w:spacing w:line="360" w:lineRule="auto"/>
        <w:ind w:firstLine="480"/>
        <w:rPr>
          <w:rFonts w:ascii="Times New Roman"/>
          <w:snapToGrid w:val="0"/>
          <w:color w:val="000000"/>
          <w:kern w:val="0"/>
          <w:sz w:val="24"/>
        </w:rPr>
      </w:pPr>
      <w:r>
        <w:rPr>
          <w:rFonts w:ascii="Times New Roman"/>
          <w:snapToGrid w:val="0"/>
          <w:color w:val="000000"/>
          <w:kern w:val="0"/>
          <w:sz w:val="24"/>
        </w:rPr>
        <w:t>检索了土壤保育相关的《</w:t>
      </w:r>
      <w:r>
        <w:rPr>
          <w:rFonts w:hint="eastAsia" w:ascii="Times New Roman"/>
          <w:snapToGrid w:val="0"/>
          <w:color w:val="000000"/>
          <w:kern w:val="0"/>
          <w:sz w:val="24"/>
          <w:lang w:eastAsia="zh-CN"/>
        </w:rPr>
        <w:t>耕地质量等级</w:t>
      </w:r>
      <w:r>
        <w:rPr>
          <w:rFonts w:ascii="Times New Roman"/>
          <w:snapToGrid w:val="0"/>
          <w:color w:val="000000"/>
          <w:kern w:val="0"/>
          <w:sz w:val="24"/>
        </w:rPr>
        <w:t>》（GB/T 33469）和《耕地质量划分规范》（NY/T 2872）等现行标准，检索了稻田面源污染防控相关的《稻田氮磷流失防控技术规范 第1部分：控水减排》（NY</w:t>
      </w:r>
      <w:r>
        <w:rPr>
          <w:rFonts w:hint="eastAsia" w:ascii="Times New Roman"/>
          <w:snapToGrid w:val="0"/>
          <w:color w:val="000000"/>
          <w:kern w:val="0"/>
          <w:sz w:val="24"/>
          <w:lang w:val="en-US" w:eastAsia="zh-CN"/>
        </w:rPr>
        <w:t>/</w:t>
      </w:r>
      <w:r>
        <w:rPr>
          <w:rFonts w:ascii="Times New Roman"/>
          <w:snapToGrid w:val="0"/>
          <w:color w:val="000000"/>
          <w:kern w:val="0"/>
          <w:sz w:val="24"/>
        </w:rPr>
        <w:t>T 4162.1-2022）、《稻田氮磷流失防控技术规范 第2部分：控源增汇》（NY</w:t>
      </w:r>
      <w:r>
        <w:rPr>
          <w:rFonts w:hint="eastAsia" w:ascii="Times New Roman"/>
          <w:snapToGrid w:val="0"/>
          <w:color w:val="000000"/>
          <w:kern w:val="0"/>
          <w:sz w:val="24"/>
          <w:lang w:val="en-US" w:eastAsia="zh-CN"/>
        </w:rPr>
        <w:t>/</w:t>
      </w:r>
      <w:r>
        <w:rPr>
          <w:rFonts w:ascii="Times New Roman"/>
          <w:snapToGrid w:val="0"/>
          <w:color w:val="000000"/>
          <w:kern w:val="0"/>
          <w:sz w:val="24"/>
        </w:rPr>
        <w:t>T 4162.2-2022）、《稻田氮磷流失综合防控技术指南 第1部分：北方单季稻》（NY</w:t>
      </w:r>
      <w:r>
        <w:rPr>
          <w:rFonts w:hint="eastAsia" w:ascii="Times New Roman"/>
          <w:snapToGrid w:val="0"/>
          <w:color w:val="000000"/>
          <w:kern w:val="0"/>
          <w:sz w:val="24"/>
          <w:lang w:val="en-US" w:eastAsia="zh-CN"/>
        </w:rPr>
        <w:t>/</w:t>
      </w:r>
      <w:r>
        <w:rPr>
          <w:rFonts w:ascii="Times New Roman"/>
          <w:snapToGrid w:val="0"/>
          <w:color w:val="000000"/>
          <w:kern w:val="0"/>
          <w:sz w:val="24"/>
        </w:rPr>
        <w:t>T 4163.1-2022）、《稻田氮磷流失综合防控技术指南 第2部分：稻麦轮作》（NY</w:t>
      </w:r>
      <w:r>
        <w:rPr>
          <w:rFonts w:hint="eastAsia" w:ascii="Times New Roman"/>
          <w:snapToGrid w:val="0"/>
          <w:color w:val="000000"/>
          <w:kern w:val="0"/>
          <w:sz w:val="24"/>
          <w:lang w:val="en-US" w:eastAsia="zh-CN"/>
        </w:rPr>
        <w:t>/</w:t>
      </w:r>
      <w:r>
        <w:rPr>
          <w:rFonts w:ascii="Times New Roman"/>
          <w:snapToGrid w:val="0"/>
          <w:color w:val="000000"/>
          <w:kern w:val="0"/>
          <w:sz w:val="24"/>
        </w:rPr>
        <w:t>T 4163.2-2022）、《稻田氮磷流失综合防控技术指南 第3部分：水旱轮作》（NY</w:t>
      </w:r>
      <w:r>
        <w:rPr>
          <w:rFonts w:hint="eastAsia" w:ascii="Times New Roman"/>
          <w:snapToGrid w:val="0"/>
          <w:color w:val="000000"/>
          <w:kern w:val="0"/>
          <w:sz w:val="24"/>
          <w:lang w:val="en-US" w:eastAsia="zh-CN"/>
        </w:rPr>
        <w:t>/</w:t>
      </w:r>
      <w:r>
        <w:rPr>
          <w:rFonts w:ascii="Times New Roman"/>
          <w:snapToGrid w:val="0"/>
          <w:color w:val="000000"/>
          <w:kern w:val="0"/>
          <w:sz w:val="24"/>
        </w:rPr>
        <w:t>T 4163.3-2022）5项现行有效标准。</w:t>
      </w:r>
    </w:p>
    <w:p w14:paraId="7C5258BA">
      <w:pPr>
        <w:pStyle w:val="7"/>
        <w:spacing w:line="360" w:lineRule="auto"/>
        <w:ind w:firstLine="480"/>
        <w:rPr>
          <w:rFonts w:ascii="Times New Roman"/>
          <w:snapToGrid w:val="0"/>
          <w:color w:val="000000"/>
          <w:kern w:val="0"/>
          <w:sz w:val="24"/>
        </w:rPr>
      </w:pPr>
      <w:r>
        <w:rPr>
          <w:rFonts w:ascii="Times New Roman"/>
          <w:snapToGrid w:val="0"/>
          <w:color w:val="000000"/>
          <w:kern w:val="0"/>
          <w:sz w:val="24"/>
        </w:rPr>
        <w:t>目前虽然已有水稻田氮磷流失和CH</w:t>
      </w:r>
      <w:r>
        <w:rPr>
          <w:rFonts w:ascii="Times New Roman"/>
          <w:snapToGrid w:val="0"/>
          <w:color w:val="000000"/>
          <w:kern w:val="0"/>
          <w:sz w:val="24"/>
          <w:vertAlign w:val="subscript"/>
        </w:rPr>
        <w:t>4</w:t>
      </w:r>
      <w:r>
        <w:rPr>
          <w:rFonts w:ascii="Times New Roman"/>
          <w:snapToGrid w:val="0"/>
          <w:color w:val="000000"/>
          <w:kern w:val="0"/>
          <w:sz w:val="24"/>
        </w:rPr>
        <w:t>减排的农业和地方标准，以及关于标准发布，但目前尚缺少一套综合规范和标准能够同时指导土壤保育并实现碳氮的减排。</w:t>
      </w:r>
    </w:p>
    <w:p w14:paraId="7E22D8BE">
      <w:pPr>
        <w:pStyle w:val="7"/>
        <w:spacing w:before="156" w:beforeLines="50" w:after="156" w:afterLines="50" w:line="360" w:lineRule="auto"/>
        <w:ind w:firstLine="482"/>
        <w:rPr>
          <w:rFonts w:ascii="Times New Roman"/>
          <w:b/>
          <w:bCs/>
          <w:snapToGrid w:val="0"/>
          <w:color w:val="000000"/>
          <w:kern w:val="0"/>
          <w:sz w:val="24"/>
        </w:rPr>
      </w:pPr>
      <w:r>
        <w:rPr>
          <w:rFonts w:ascii="Times New Roman"/>
          <w:b/>
          <w:bCs/>
          <w:snapToGrid w:val="0"/>
          <w:color w:val="000000"/>
          <w:kern w:val="0"/>
          <w:sz w:val="24"/>
        </w:rPr>
        <w:t>2. 标准起草阶段</w:t>
      </w:r>
    </w:p>
    <w:p w14:paraId="19E1F6EC">
      <w:pPr>
        <w:spacing w:line="360" w:lineRule="auto"/>
        <w:ind w:firstLine="480" w:firstLineChars="200"/>
        <w:rPr>
          <w:snapToGrid w:val="0"/>
          <w:color w:val="000000"/>
          <w:kern w:val="0"/>
          <w:sz w:val="24"/>
          <w:szCs w:val="24"/>
        </w:rPr>
      </w:pPr>
      <w:r>
        <w:rPr>
          <w:snapToGrid w:val="0"/>
          <w:color w:val="000000"/>
          <w:kern w:val="0"/>
          <w:sz w:val="24"/>
          <w:szCs w:val="24"/>
        </w:rPr>
        <w:t>在广泛收集文献资料基础上，结合标准编制小组近10 年来稻田土壤保育与碳氮协同减排技术的研究实践与经验，初步确定了标准中我国稻麦轮作区土壤保育与碳氮减排的各项技术参数根据 GB/T 1.1-2020 《</w:t>
      </w:r>
      <w:r>
        <w:rPr>
          <w:rFonts w:hint="eastAsia"/>
          <w:snapToGrid w:val="0"/>
          <w:color w:val="000000"/>
          <w:kern w:val="0"/>
          <w:sz w:val="24"/>
          <w:szCs w:val="24"/>
          <w:lang w:eastAsia="zh-CN"/>
        </w:rPr>
        <w:t>标准化工作导则 第1部分：标准化文件的结构和起草规则</w:t>
      </w:r>
      <w:r>
        <w:rPr>
          <w:snapToGrid w:val="0"/>
          <w:color w:val="000000"/>
          <w:kern w:val="0"/>
          <w:sz w:val="24"/>
          <w:szCs w:val="24"/>
        </w:rPr>
        <w:t>》所规定的内容和格式编写完成了《稻田土壤保育与碳氮协同减排技术规范 第2部分：南方双季稻区》标准的草案，形成标准征求意见稿，并送有关专家征求意见。</w:t>
      </w:r>
    </w:p>
    <w:p w14:paraId="0CCA85FE">
      <w:pPr>
        <w:pStyle w:val="7"/>
        <w:spacing w:before="156" w:beforeLines="50" w:after="156" w:afterLines="50" w:line="360" w:lineRule="auto"/>
        <w:ind w:firstLine="482"/>
        <w:rPr>
          <w:rFonts w:ascii="Times New Roman"/>
          <w:b/>
          <w:bCs/>
          <w:snapToGrid w:val="0"/>
          <w:color w:val="000000"/>
          <w:kern w:val="0"/>
          <w:sz w:val="24"/>
        </w:rPr>
      </w:pPr>
      <w:r>
        <w:rPr>
          <w:rFonts w:ascii="Times New Roman"/>
          <w:b/>
          <w:bCs/>
          <w:snapToGrid w:val="0"/>
          <w:color w:val="000000"/>
          <w:kern w:val="0"/>
          <w:sz w:val="24"/>
        </w:rPr>
        <w:t>3. 征求意见阶段</w:t>
      </w:r>
    </w:p>
    <w:p w14:paraId="508314F9">
      <w:pPr>
        <w:spacing w:line="360" w:lineRule="auto"/>
        <w:ind w:firstLine="480" w:firstLineChars="200"/>
        <w:rPr>
          <w:snapToGrid w:val="0"/>
          <w:color w:val="000000"/>
          <w:kern w:val="0"/>
          <w:sz w:val="24"/>
          <w:szCs w:val="24"/>
        </w:rPr>
      </w:pPr>
      <w:r>
        <w:rPr>
          <w:snapToGrid w:val="0"/>
          <w:color w:val="000000"/>
          <w:kern w:val="0"/>
          <w:sz w:val="24"/>
          <w:szCs w:val="24"/>
        </w:rPr>
        <w:t>202</w:t>
      </w:r>
      <w:r>
        <w:rPr>
          <w:rFonts w:hint="eastAsia"/>
          <w:snapToGrid w:val="0"/>
          <w:color w:val="000000"/>
          <w:kern w:val="0"/>
          <w:sz w:val="24"/>
          <w:szCs w:val="24"/>
        </w:rPr>
        <w:t>5</w:t>
      </w:r>
      <w:r>
        <w:rPr>
          <w:snapToGrid w:val="0"/>
          <w:color w:val="000000"/>
          <w:kern w:val="0"/>
          <w:sz w:val="24"/>
          <w:szCs w:val="24"/>
        </w:rPr>
        <w:t>年</w:t>
      </w:r>
      <w:r>
        <w:rPr>
          <w:rFonts w:hint="eastAsia"/>
          <w:snapToGrid w:val="0"/>
          <w:color w:val="000000"/>
          <w:kern w:val="0"/>
          <w:sz w:val="24"/>
          <w:szCs w:val="24"/>
        </w:rPr>
        <w:t>5</w:t>
      </w:r>
      <w:r>
        <w:rPr>
          <w:snapToGrid w:val="0"/>
          <w:color w:val="000000"/>
          <w:kern w:val="0"/>
          <w:sz w:val="24"/>
          <w:szCs w:val="24"/>
        </w:rPr>
        <w:t>月，项目组完成了《稻田土壤保育与碳氮协同减排技术规范第2部分：南方双季稻区》标准的草案，形成标准征求意见稿，</w:t>
      </w:r>
      <w:r>
        <w:rPr>
          <w:snapToGrid w:val="0"/>
          <w:color w:val="0D0D0D" w:themeColor="text1" w:themeTint="F2"/>
          <w:kern w:val="0"/>
          <w:sz w:val="24"/>
          <w:szCs w:val="24"/>
          <w14:textFill>
            <w14:solidFill>
              <w14:schemeClr w14:val="tx1">
                <w14:lumMod w14:val="95000"/>
                <w14:lumOff w14:val="5000"/>
              </w14:schemeClr>
            </w14:solidFill>
          </w14:textFill>
        </w:rPr>
        <w:t>向19家单位的20</w:t>
      </w:r>
      <w:r>
        <w:rPr>
          <w:rFonts w:hint="eastAsia"/>
          <w:snapToGrid w:val="0"/>
          <w:color w:val="0D0D0D" w:themeColor="text1" w:themeTint="F2"/>
          <w:kern w:val="0"/>
          <w:sz w:val="24"/>
          <w:szCs w:val="24"/>
          <w14:textFill>
            <w14:solidFill>
              <w14:schemeClr w14:val="tx1">
                <w14:lumMod w14:val="95000"/>
                <w14:lumOff w14:val="5000"/>
              </w14:schemeClr>
            </w14:solidFill>
          </w14:textFill>
        </w:rPr>
        <w:t>余</w:t>
      </w:r>
      <w:r>
        <w:rPr>
          <w:snapToGrid w:val="0"/>
          <w:color w:val="0D0D0D" w:themeColor="text1" w:themeTint="F2"/>
          <w:kern w:val="0"/>
          <w:sz w:val="24"/>
          <w:szCs w:val="24"/>
          <w14:textFill>
            <w14:solidFill>
              <w14:schemeClr w14:val="tx1">
                <w14:lumMod w14:val="95000"/>
                <w14:lumOff w14:val="5000"/>
              </w14:schemeClr>
            </w14:solidFill>
          </w14:textFill>
        </w:rPr>
        <w:t>位专家</w:t>
      </w:r>
      <w:r>
        <w:rPr>
          <w:snapToGrid w:val="0"/>
          <w:color w:val="000000"/>
          <w:kern w:val="0"/>
          <w:sz w:val="24"/>
          <w:szCs w:val="24"/>
        </w:rPr>
        <w:t>征求意见和建议，标准草案同时在农业农村部农业生态与资源保护总站（http://www.reea.agri.cn）“资环标委会”栏目向公众征求意见。</w:t>
      </w:r>
    </w:p>
    <w:p w14:paraId="4FC87B09">
      <w:pPr>
        <w:spacing w:before="156" w:beforeLines="50" w:after="156" w:afterLines="50" w:line="360" w:lineRule="auto"/>
        <w:outlineLvl w:val="0"/>
        <w:rPr>
          <w:rFonts w:eastAsia="黑体"/>
          <w:b/>
          <w:snapToGrid w:val="0"/>
          <w:color w:val="000000"/>
          <w:kern w:val="0"/>
          <w:sz w:val="24"/>
          <w:szCs w:val="24"/>
        </w:rPr>
      </w:pPr>
      <w:r>
        <w:rPr>
          <w:rFonts w:eastAsia="黑体"/>
          <w:b/>
          <w:snapToGrid w:val="0"/>
          <w:color w:val="000000"/>
          <w:kern w:val="0"/>
          <w:sz w:val="24"/>
          <w:szCs w:val="24"/>
        </w:rPr>
        <w:t>二、标准编制原则和确定标准主要内容</w:t>
      </w:r>
    </w:p>
    <w:p w14:paraId="5924D54B">
      <w:pPr>
        <w:spacing w:line="360" w:lineRule="auto"/>
        <w:ind w:firstLine="480" w:firstLineChars="200"/>
        <w:outlineLvl w:val="1"/>
        <w:rPr>
          <w:rFonts w:eastAsia="楷体"/>
          <w:b/>
          <w:bCs/>
          <w:sz w:val="24"/>
          <w:szCs w:val="24"/>
        </w:rPr>
      </w:pPr>
      <w:r>
        <w:rPr>
          <w:rFonts w:eastAsia="楷体"/>
          <w:b/>
          <w:bCs/>
          <w:sz w:val="24"/>
          <w:szCs w:val="24"/>
        </w:rPr>
        <w:t>（一）标准的编写原则</w:t>
      </w:r>
    </w:p>
    <w:p w14:paraId="751793F5">
      <w:pPr>
        <w:spacing w:line="360" w:lineRule="auto"/>
        <w:ind w:firstLine="480" w:firstLineChars="200"/>
        <w:rPr>
          <w:snapToGrid w:val="0"/>
          <w:color w:val="000000"/>
          <w:kern w:val="0"/>
          <w:sz w:val="24"/>
          <w:szCs w:val="24"/>
        </w:rPr>
      </w:pPr>
      <w:r>
        <w:rPr>
          <w:snapToGrid w:val="0"/>
          <w:color w:val="000000"/>
          <w:kern w:val="0"/>
          <w:sz w:val="24"/>
          <w:szCs w:val="24"/>
        </w:rPr>
        <w:t>标准编制遵循“科学性、实用性、规范性和协调性”的原则，在已有工作基础的前提下，广泛调查研究，确定标准主要内容和指标，力求做到规范科学。选择对稻田土壤保育与碳氮排放影响较大的关键环节，采用田间定位试验和规模化推广相结合的方法进行验证，以保证技术规范的准确、可靠；既确保标准具有技术上的先进性，又具有经济上的合理性，遵循了标准制定过程中的先进性、经济性和适用性原则。</w:t>
      </w:r>
    </w:p>
    <w:p w14:paraId="2494058F">
      <w:pPr>
        <w:spacing w:line="360" w:lineRule="auto"/>
        <w:ind w:firstLine="480" w:firstLineChars="200"/>
        <w:rPr>
          <w:snapToGrid w:val="0"/>
          <w:color w:val="000000"/>
          <w:kern w:val="0"/>
          <w:sz w:val="24"/>
          <w:szCs w:val="24"/>
        </w:rPr>
      </w:pPr>
      <w:r>
        <w:rPr>
          <w:snapToGrid w:val="0"/>
          <w:color w:val="000000"/>
          <w:kern w:val="0"/>
          <w:sz w:val="24"/>
          <w:szCs w:val="24"/>
        </w:rPr>
        <w:t>在标准的制定过程中严格遵循国家有关方针、政策、法规和规章，严格执行强制性国家标准和行业标准；与同体系标准及相关的各种基础标准以及配套使用的标准相衔接，遵循了协调统一性原则。</w:t>
      </w:r>
    </w:p>
    <w:p w14:paraId="5DA5F39F">
      <w:pPr>
        <w:spacing w:line="360" w:lineRule="auto"/>
        <w:ind w:firstLine="480" w:firstLineChars="200"/>
        <w:rPr>
          <w:snapToGrid w:val="0"/>
          <w:color w:val="000000"/>
          <w:kern w:val="0"/>
          <w:sz w:val="24"/>
          <w:szCs w:val="24"/>
        </w:rPr>
      </w:pPr>
      <w:r>
        <w:rPr>
          <w:snapToGrid w:val="0"/>
          <w:color w:val="000000"/>
          <w:kern w:val="0"/>
          <w:sz w:val="24"/>
          <w:szCs w:val="24"/>
        </w:rPr>
        <w:t>在标准制定过程中力求做到：技术内容的叙述正确无误；文字表达准确、简明、易懂；标准的构成严谨合理；内容编排、层次划分等符合逻辑与规定。</w:t>
      </w:r>
    </w:p>
    <w:p w14:paraId="42800F33">
      <w:pPr>
        <w:spacing w:line="360" w:lineRule="auto"/>
        <w:ind w:firstLine="480" w:firstLineChars="200"/>
        <w:rPr>
          <w:snapToGrid w:val="0"/>
          <w:color w:val="000000"/>
          <w:kern w:val="0"/>
          <w:sz w:val="24"/>
          <w:szCs w:val="24"/>
        </w:rPr>
      </w:pPr>
      <w:r>
        <w:rPr>
          <w:snapToGrid w:val="0"/>
          <w:color w:val="000000"/>
          <w:kern w:val="0"/>
          <w:sz w:val="24"/>
          <w:szCs w:val="24"/>
        </w:rPr>
        <w:t>（1）本标准按照GB/T 1.1-2020《标准化工作导则  第1部分：标准化文件的结构和起草规则》的规定起草。</w:t>
      </w:r>
    </w:p>
    <w:p w14:paraId="45D3FBB5">
      <w:pPr>
        <w:spacing w:line="360" w:lineRule="auto"/>
        <w:ind w:firstLine="480" w:firstLineChars="200"/>
        <w:rPr>
          <w:snapToGrid w:val="0"/>
          <w:color w:val="000000"/>
          <w:kern w:val="0"/>
          <w:sz w:val="24"/>
          <w:szCs w:val="24"/>
        </w:rPr>
      </w:pPr>
      <w:r>
        <w:rPr>
          <w:snapToGrid w:val="0"/>
          <w:color w:val="000000"/>
          <w:kern w:val="0"/>
          <w:sz w:val="24"/>
          <w:szCs w:val="24"/>
        </w:rPr>
        <w:t>（2）本标准根据</w:t>
      </w:r>
      <w:r>
        <w:rPr>
          <w:rFonts w:hint="eastAsia"/>
          <w:snapToGrid w:val="0"/>
          <w:color w:val="000000"/>
          <w:kern w:val="0"/>
          <w:sz w:val="24"/>
          <w:szCs w:val="24"/>
          <w:lang w:eastAsia="zh-CN"/>
        </w:rPr>
        <w:t>多次</w:t>
      </w:r>
      <w:r>
        <w:rPr>
          <w:snapToGrid w:val="0"/>
          <w:color w:val="000000"/>
          <w:kern w:val="0"/>
          <w:sz w:val="24"/>
          <w:szCs w:val="24"/>
        </w:rPr>
        <w:t>联合试验、生产实践、技术验证、生产者的反馈意见作为编写依据。</w:t>
      </w:r>
    </w:p>
    <w:p w14:paraId="706C22F8">
      <w:pPr>
        <w:spacing w:line="360" w:lineRule="auto"/>
        <w:ind w:firstLine="480" w:firstLineChars="200"/>
        <w:rPr>
          <w:snapToGrid w:val="0"/>
          <w:color w:val="000000"/>
          <w:kern w:val="0"/>
          <w:sz w:val="24"/>
          <w:szCs w:val="24"/>
        </w:rPr>
      </w:pPr>
      <w:r>
        <w:rPr>
          <w:snapToGrid w:val="0"/>
          <w:color w:val="000000"/>
          <w:kern w:val="0"/>
          <w:sz w:val="24"/>
          <w:szCs w:val="24"/>
        </w:rPr>
        <w:t>（3）本标准的制定，既立足现实双季稻轮作实际生产的需求，又融合耕地保育与碳氮协同减排的先进实践经验，理论联系实际，尽可能做到理论和技术的先进性。</w:t>
      </w:r>
    </w:p>
    <w:p w14:paraId="7F868A96">
      <w:pPr>
        <w:spacing w:line="360" w:lineRule="auto"/>
        <w:ind w:firstLine="480" w:firstLineChars="200"/>
        <w:rPr>
          <w:snapToGrid w:val="0"/>
          <w:color w:val="000000"/>
          <w:kern w:val="0"/>
          <w:sz w:val="24"/>
          <w:szCs w:val="24"/>
        </w:rPr>
      </w:pPr>
      <w:r>
        <w:rPr>
          <w:snapToGrid w:val="0"/>
          <w:color w:val="000000"/>
          <w:kern w:val="0"/>
          <w:sz w:val="24"/>
          <w:szCs w:val="24"/>
        </w:rPr>
        <w:t>（4）充分考虑我国双季稻轮作种植特点，按照双季稻轮作土壤保育与碳氮减排技术关键点，包括碳氮排放风险期界定、早稻和晚稻的秸秆还田、整地、施肥、田间水分管理等关键环节提出技术规范措施，以保证双季稻轮作区土壤健康和碳氮协同减排。</w:t>
      </w:r>
    </w:p>
    <w:p w14:paraId="677F9E7E">
      <w:pPr>
        <w:spacing w:line="360" w:lineRule="auto"/>
        <w:ind w:firstLine="480" w:firstLineChars="200"/>
        <w:rPr>
          <w:snapToGrid w:val="0"/>
          <w:color w:val="000000"/>
          <w:kern w:val="0"/>
          <w:sz w:val="24"/>
          <w:szCs w:val="24"/>
        </w:rPr>
      </w:pPr>
      <w:r>
        <w:rPr>
          <w:snapToGrid w:val="0"/>
          <w:color w:val="000000"/>
          <w:kern w:val="0"/>
          <w:sz w:val="24"/>
          <w:szCs w:val="24"/>
        </w:rPr>
        <w:t>（5）本标准是在双季稻轮作生产区域内进行多年多点试验，对标准适用范围进行严格的界定后制定的，标准的可操作性强。同时，本标准涵盖了典型双季稻轮作区的技术规范，可适应不同双季稻轮作种植区域的需求，使本规范可操作、能落地，具有普适性。</w:t>
      </w:r>
    </w:p>
    <w:p w14:paraId="25F0274F">
      <w:pPr>
        <w:spacing w:line="360" w:lineRule="auto"/>
        <w:ind w:firstLine="480" w:firstLineChars="200"/>
        <w:outlineLvl w:val="1"/>
        <w:rPr>
          <w:rFonts w:eastAsia="楷体"/>
          <w:b/>
          <w:bCs/>
          <w:sz w:val="24"/>
          <w:szCs w:val="24"/>
        </w:rPr>
      </w:pPr>
      <w:r>
        <w:rPr>
          <w:rFonts w:eastAsia="楷体"/>
          <w:b/>
          <w:bCs/>
          <w:sz w:val="24"/>
          <w:szCs w:val="24"/>
        </w:rPr>
        <w:t>（二）提出本标准主要内容的依据</w:t>
      </w:r>
    </w:p>
    <w:p w14:paraId="0920CBE2">
      <w:pPr>
        <w:spacing w:line="360" w:lineRule="auto"/>
        <w:ind w:firstLine="480" w:firstLineChars="200"/>
        <w:rPr>
          <w:snapToGrid w:val="0"/>
          <w:color w:val="000000"/>
          <w:kern w:val="0"/>
          <w:sz w:val="24"/>
          <w:szCs w:val="24"/>
        </w:rPr>
      </w:pPr>
      <w:r>
        <w:rPr>
          <w:snapToGrid w:val="0"/>
          <w:color w:val="000000"/>
          <w:kern w:val="0"/>
          <w:sz w:val="24"/>
          <w:szCs w:val="24"/>
        </w:rPr>
        <w:t>本文件满足GB/T 1.1-2020《标准化工作导则 第 1 部分：标准化文件的结构和起草规则》规定的要求，主要内容包括范围、规范性引用文件、术语和定义、基本原则、技术要求。</w:t>
      </w:r>
    </w:p>
    <w:p w14:paraId="4A3A49D5">
      <w:pPr>
        <w:spacing w:line="360" w:lineRule="auto"/>
        <w:ind w:firstLine="480" w:firstLineChars="200"/>
        <w:rPr>
          <w:snapToGrid w:val="0"/>
          <w:color w:val="000000"/>
          <w:kern w:val="0"/>
          <w:sz w:val="24"/>
          <w:szCs w:val="24"/>
        </w:rPr>
      </w:pPr>
      <w:r>
        <w:rPr>
          <w:snapToGrid w:val="0"/>
          <w:color w:val="000000"/>
          <w:kern w:val="0"/>
          <w:sz w:val="24"/>
          <w:szCs w:val="24"/>
        </w:rPr>
        <w:t>进入“十四五”，国家先后推出了《减污降碳协同增效实施方案》与《新污染物治理行动方案》，对农业面源污染防控提出了新要求，创新农业多污染协同减排，这对推动农业绿色高质量发展具有重要意义。水稻是全球超过半数人口的主食，在全球粮食安全中扮演着举足轻重的角色。中国是世界最大的水稻种植国，</w:t>
      </w:r>
      <w:r>
        <w:rPr>
          <w:rFonts w:hint="eastAsia"/>
          <w:snapToGrid w:val="0"/>
          <w:color w:val="000000"/>
          <w:kern w:val="0"/>
          <w:sz w:val="24"/>
          <w:szCs w:val="24"/>
          <w:lang w:eastAsia="zh-CN"/>
        </w:rPr>
        <w:t>截至</w:t>
      </w:r>
      <w:r>
        <w:rPr>
          <w:snapToGrid w:val="0"/>
          <w:color w:val="000000"/>
          <w:kern w:val="0"/>
          <w:sz w:val="24"/>
          <w:szCs w:val="24"/>
        </w:rPr>
        <w:t>2021年，种植面积占据了全球的17.99%，在产量方面更是独占鳌头，达到了全球总产量的27.05%，稳居世界第一（FAO, 2023）。然而，我国水稻高产是以巨大的资源消耗为代价，特别是氮肥和水资源的使用。据统计，中国水稻种植单位面积氮肥投入量是世界平均水平的1.54倍，</w:t>
      </w:r>
      <w:r>
        <w:rPr>
          <w:rFonts w:hint="eastAsia"/>
          <w:snapToGrid w:val="0"/>
          <w:color w:val="000000"/>
          <w:kern w:val="0"/>
          <w:sz w:val="24"/>
          <w:szCs w:val="24"/>
          <w:lang w:eastAsia="zh-CN"/>
        </w:rPr>
        <w:t>而</w:t>
      </w:r>
      <w:r>
        <w:rPr>
          <w:rFonts w:hint="eastAsia"/>
          <w:snapToGrid w:val="0"/>
          <w:color w:val="000000"/>
          <w:kern w:val="0"/>
          <w:sz w:val="24"/>
          <w:szCs w:val="24"/>
        </w:rPr>
        <w:t>单位面积灌溉用水量则为全球的1.8倍</w:t>
      </w:r>
      <w:r>
        <w:rPr>
          <w:snapToGrid w:val="0"/>
          <w:color w:val="000000"/>
          <w:kern w:val="0"/>
          <w:sz w:val="24"/>
          <w:szCs w:val="24"/>
        </w:rPr>
        <w:t>（农业部，2013）。稻田氮肥的超量施用和水资源的不合理利用导致氮素随地表径流损失风险显著增加，根据第二次全国污染源普查结果，水稻氮流失量占全国种植业氮流失量的近40%。稻田甲烷（CH</w:t>
      </w:r>
      <w:r>
        <w:rPr>
          <w:snapToGrid w:val="0"/>
          <w:color w:val="000000"/>
          <w:kern w:val="0"/>
          <w:sz w:val="24"/>
          <w:szCs w:val="24"/>
          <w:vertAlign w:val="subscript"/>
        </w:rPr>
        <w:t>4</w:t>
      </w:r>
      <w:r>
        <w:rPr>
          <w:snapToGrid w:val="0"/>
          <w:color w:val="000000"/>
          <w:kern w:val="0"/>
          <w:sz w:val="24"/>
          <w:szCs w:val="24"/>
        </w:rPr>
        <w:t>）排放对全球变暖造成的威胁同样是不可忽视的问题，根据中华人民共和国气候变化第四次国家信息通报，</w:t>
      </w:r>
      <w:r>
        <w:rPr>
          <w:rFonts w:hint="eastAsia"/>
          <w:snapToGrid w:val="0"/>
          <w:color w:val="000000"/>
          <w:kern w:val="0"/>
          <w:sz w:val="24"/>
          <w:szCs w:val="24"/>
        </w:rPr>
        <w:t>稻田排放的CH</w:t>
      </w:r>
      <w:r>
        <w:rPr>
          <w:rFonts w:hint="eastAsia"/>
          <w:snapToGrid w:val="0"/>
          <w:color w:val="000000"/>
          <w:kern w:val="0"/>
          <w:sz w:val="24"/>
          <w:szCs w:val="24"/>
          <w:vertAlign w:val="subscript"/>
        </w:rPr>
        <w:t>4</w:t>
      </w:r>
      <w:r>
        <w:rPr>
          <w:rFonts w:hint="eastAsia"/>
          <w:snapToGrid w:val="0"/>
          <w:color w:val="000000"/>
          <w:kern w:val="0"/>
          <w:sz w:val="24"/>
          <w:szCs w:val="24"/>
        </w:rPr>
        <w:t>占农业CH</w:t>
      </w:r>
      <w:r>
        <w:rPr>
          <w:rFonts w:hint="eastAsia"/>
          <w:snapToGrid w:val="0"/>
          <w:color w:val="000000"/>
          <w:kern w:val="0"/>
          <w:sz w:val="24"/>
          <w:szCs w:val="24"/>
          <w:vertAlign w:val="subscript"/>
        </w:rPr>
        <w:t>4</w:t>
      </w:r>
      <w:r>
        <w:rPr>
          <w:rFonts w:hint="eastAsia"/>
          <w:snapToGrid w:val="0"/>
          <w:color w:val="000000"/>
          <w:kern w:val="0"/>
          <w:sz w:val="24"/>
          <w:szCs w:val="24"/>
        </w:rPr>
        <w:t>总排放量的40%</w:t>
      </w:r>
      <w:r>
        <w:rPr>
          <w:snapToGrid w:val="0"/>
          <w:color w:val="000000"/>
          <w:kern w:val="0"/>
          <w:sz w:val="24"/>
          <w:szCs w:val="24"/>
        </w:rPr>
        <w:t>。此外，我国稻田因长期重种轻养、化肥不合理使用等，导致中低产田占比较高，严重制约了粮食增产。其中长江中下游双季稻轮作区存在红黄壤酸瘦、耕层浅薄、水稻土冷浸渍水、还原性物质毒害、养分低效且易损失等问题，中低产田比例超过65％。因此减少稻田氮流失和CH</w:t>
      </w:r>
      <w:r>
        <w:rPr>
          <w:snapToGrid w:val="0"/>
          <w:color w:val="000000"/>
          <w:kern w:val="0"/>
          <w:sz w:val="24"/>
          <w:szCs w:val="24"/>
          <w:vertAlign w:val="subscript"/>
        </w:rPr>
        <w:t>4</w:t>
      </w:r>
      <w:r>
        <w:rPr>
          <w:snapToGrid w:val="0"/>
          <w:color w:val="000000"/>
          <w:kern w:val="0"/>
          <w:sz w:val="24"/>
          <w:szCs w:val="24"/>
        </w:rPr>
        <w:t>排放的同时实现土壤保育是我国农业绿色发展和减污降碳急需突破的</w:t>
      </w:r>
      <w:r>
        <w:rPr>
          <w:rFonts w:hint="eastAsia"/>
          <w:snapToGrid w:val="0"/>
          <w:color w:val="000000"/>
          <w:kern w:val="0"/>
          <w:sz w:val="24"/>
          <w:szCs w:val="24"/>
          <w:lang w:eastAsia="zh-CN"/>
        </w:rPr>
        <w:t>“卡脖子”问题</w:t>
      </w:r>
      <w:r>
        <w:rPr>
          <w:snapToGrid w:val="0"/>
          <w:color w:val="000000"/>
          <w:kern w:val="0"/>
          <w:sz w:val="24"/>
          <w:szCs w:val="24"/>
        </w:rPr>
        <w:t>。</w:t>
      </w:r>
    </w:p>
    <w:p w14:paraId="392F5B14">
      <w:pPr>
        <w:spacing w:line="360" w:lineRule="auto"/>
        <w:ind w:firstLine="480" w:firstLineChars="200"/>
        <w:rPr>
          <w:snapToGrid w:val="0"/>
          <w:color w:val="000000"/>
          <w:kern w:val="0"/>
          <w:sz w:val="24"/>
          <w:szCs w:val="24"/>
        </w:rPr>
      </w:pPr>
      <w:r>
        <w:rPr>
          <w:snapToGrid w:val="0"/>
          <w:color w:val="000000"/>
          <w:kern w:val="0"/>
          <w:sz w:val="24"/>
          <w:szCs w:val="24"/>
        </w:rPr>
        <w:t>通过调研全国不同双季稻轮作产区稻田土壤保育与碳氮协同减排技术，确保标准编制的科学性、合理性、经济性和可行性。征求地方和有关专家意见建议，力求核心技术具有较高的科技含量和较强的可操作性。了解双季稻区轮作碳氮排放现状、秸秆还田、施肥、田间水分管理等方面技术现状，并分析技术的现实性和可操作性，确保本标准在保证双季稻轮作生产中的普适性。</w:t>
      </w:r>
    </w:p>
    <w:p w14:paraId="68C5DAEA">
      <w:pPr>
        <w:spacing w:line="360" w:lineRule="auto"/>
        <w:ind w:firstLine="480" w:firstLineChars="200"/>
        <w:rPr>
          <w:snapToGrid w:val="0"/>
          <w:color w:val="000000"/>
          <w:kern w:val="0"/>
          <w:sz w:val="24"/>
          <w:szCs w:val="24"/>
        </w:rPr>
      </w:pPr>
      <w:r>
        <w:rPr>
          <w:snapToGrid w:val="0"/>
          <w:color w:val="000000"/>
          <w:kern w:val="0"/>
          <w:sz w:val="24"/>
          <w:szCs w:val="24"/>
        </w:rPr>
        <w:t>本文件中的主要技术来源于生产试验、示范和调研的综合结果。标准的结构、要素、技术要求、关键指标的确定依据在湖南</w:t>
      </w:r>
      <w:r>
        <w:rPr>
          <w:rFonts w:hint="eastAsia"/>
          <w:snapToGrid w:val="0"/>
          <w:color w:val="000000"/>
          <w:kern w:val="0"/>
          <w:sz w:val="24"/>
          <w:szCs w:val="24"/>
        </w:rPr>
        <w:t>和</w:t>
      </w:r>
      <w:r>
        <w:rPr>
          <w:snapToGrid w:val="0"/>
          <w:color w:val="000000"/>
          <w:kern w:val="0"/>
          <w:sz w:val="24"/>
          <w:szCs w:val="24"/>
        </w:rPr>
        <w:t>江西等双季稻轮作主产区进行了大量调研，调研双季稻轮作区土壤障碍因子以及稻田碳氮减排技术，确保标准编制的科学性、合理性、经济性和可行性。征求地方和有关专家意见建议，力求核心技术具有较高的科技含量和较强的可操作性。了解水稻肥料施用、土壤保育措施及稻田灌排技术现状，并分析技术的现实性和可操作性，确保本标准在水稻生产中的普适性。</w:t>
      </w:r>
    </w:p>
    <w:p w14:paraId="096C3C3F">
      <w:pPr>
        <w:spacing w:line="360" w:lineRule="auto"/>
        <w:ind w:firstLine="480" w:firstLineChars="200"/>
        <w:rPr>
          <w:snapToGrid w:val="0"/>
          <w:color w:val="000000"/>
          <w:kern w:val="0"/>
          <w:sz w:val="24"/>
          <w:szCs w:val="24"/>
        </w:rPr>
      </w:pPr>
      <w:r>
        <w:rPr>
          <w:snapToGrid w:val="0"/>
          <w:color w:val="000000"/>
          <w:kern w:val="0"/>
          <w:sz w:val="24"/>
          <w:szCs w:val="24"/>
        </w:rPr>
        <w:t>以上内容构成了本项目的依据。</w:t>
      </w:r>
    </w:p>
    <w:p w14:paraId="184FEC52">
      <w:pPr>
        <w:spacing w:line="360" w:lineRule="auto"/>
        <w:ind w:firstLine="480" w:firstLineChars="200"/>
        <w:outlineLvl w:val="2"/>
        <w:rPr>
          <w:rFonts w:ascii="楷体" w:hAnsi="楷体" w:eastAsia="楷体"/>
          <w:b/>
          <w:bCs/>
          <w:snapToGrid w:val="0"/>
          <w:color w:val="000000"/>
          <w:kern w:val="0"/>
          <w:sz w:val="24"/>
          <w:szCs w:val="24"/>
          <w:lang w:val="en-GB"/>
        </w:rPr>
      </w:pPr>
      <w:r>
        <w:rPr>
          <w:rFonts w:ascii="楷体" w:hAnsi="楷体" w:eastAsia="楷体"/>
          <w:b/>
          <w:bCs/>
          <w:snapToGrid w:val="0"/>
          <w:color w:val="000000"/>
          <w:kern w:val="0"/>
          <w:sz w:val="24"/>
          <w:szCs w:val="24"/>
          <w:lang w:val="en-GB"/>
        </w:rPr>
        <w:t>1. 范围</w:t>
      </w:r>
    </w:p>
    <w:p w14:paraId="4D29B871">
      <w:pPr>
        <w:spacing w:line="360" w:lineRule="auto"/>
        <w:ind w:firstLine="480" w:firstLineChars="200"/>
        <w:rPr>
          <w:snapToGrid w:val="0"/>
          <w:color w:val="000000"/>
          <w:kern w:val="0"/>
          <w:sz w:val="24"/>
          <w:szCs w:val="24"/>
          <w:lang w:val="en-GB"/>
        </w:rPr>
      </w:pPr>
      <w:r>
        <w:rPr>
          <w:rFonts w:hint="eastAsia"/>
          <w:snapToGrid w:val="0"/>
          <w:color w:val="000000"/>
          <w:kern w:val="0"/>
          <w:sz w:val="24"/>
          <w:szCs w:val="24"/>
          <w:lang w:val="en-GB"/>
        </w:rPr>
        <w:t>本文件规定了双季稻区土壤保育与碳氮协同减排的术语定义、基本原则和技术要求。</w:t>
      </w:r>
    </w:p>
    <w:p w14:paraId="549598CC">
      <w:pPr>
        <w:spacing w:line="360" w:lineRule="auto"/>
        <w:ind w:firstLine="480" w:firstLineChars="200"/>
        <w:rPr>
          <w:snapToGrid w:val="0"/>
          <w:color w:val="000000"/>
          <w:kern w:val="0"/>
          <w:sz w:val="24"/>
          <w:szCs w:val="24"/>
          <w:lang w:val="en-GB"/>
        </w:rPr>
      </w:pPr>
      <w:r>
        <w:rPr>
          <w:rFonts w:hint="eastAsia"/>
          <w:snapToGrid w:val="0"/>
          <w:color w:val="000000"/>
          <w:kern w:val="0"/>
          <w:sz w:val="24"/>
          <w:szCs w:val="24"/>
          <w:lang w:val="en-GB"/>
        </w:rPr>
        <w:t>本文件适用于双季稻区土壤保育与碳氮协同减排。</w:t>
      </w:r>
    </w:p>
    <w:p w14:paraId="0A13AA79">
      <w:pPr>
        <w:spacing w:line="360" w:lineRule="auto"/>
        <w:ind w:firstLine="480" w:firstLineChars="200"/>
        <w:outlineLvl w:val="2"/>
        <w:rPr>
          <w:rFonts w:ascii="楷体" w:hAnsi="楷体" w:eastAsia="楷体"/>
          <w:b/>
          <w:bCs/>
          <w:snapToGrid w:val="0"/>
          <w:color w:val="000000"/>
          <w:kern w:val="0"/>
          <w:sz w:val="24"/>
          <w:szCs w:val="24"/>
          <w:lang w:val="en-GB"/>
        </w:rPr>
      </w:pPr>
      <w:r>
        <w:rPr>
          <w:rFonts w:ascii="楷体" w:hAnsi="楷体" w:eastAsia="楷体"/>
          <w:b/>
          <w:bCs/>
          <w:snapToGrid w:val="0"/>
          <w:color w:val="000000"/>
          <w:kern w:val="0"/>
          <w:sz w:val="24"/>
          <w:szCs w:val="24"/>
          <w:lang w:val="en-GB"/>
        </w:rPr>
        <w:t>2. 规范性引用文件</w:t>
      </w:r>
    </w:p>
    <w:p w14:paraId="2F7F87B3">
      <w:pPr>
        <w:spacing w:line="360" w:lineRule="auto"/>
        <w:ind w:firstLine="480" w:firstLineChars="200"/>
        <w:rPr>
          <w:snapToGrid w:val="0"/>
          <w:color w:val="000000"/>
          <w:kern w:val="0"/>
          <w:sz w:val="24"/>
          <w:szCs w:val="24"/>
          <w:lang w:val="en-GB"/>
        </w:rPr>
      </w:pPr>
      <w:r>
        <w:rPr>
          <w:rFonts w:hint="eastAsia"/>
          <w:snapToGrid w:val="0"/>
          <w:color w:val="000000"/>
          <w:kern w:val="0"/>
          <w:sz w:val="24"/>
          <w:szCs w:val="24"/>
          <w:lang w:val="en-GB"/>
        </w:rPr>
        <w:t>下列文件中的内容通过文中的规范性引用而构成本文件必不可少的条款。不注日期的引用文件，其最新版本（包括所有的修改单）适用于本文件</w:t>
      </w:r>
      <w:r>
        <w:rPr>
          <w:snapToGrid w:val="0"/>
          <w:color w:val="000000"/>
          <w:kern w:val="0"/>
          <w:sz w:val="24"/>
          <w:szCs w:val="24"/>
          <w:lang w:val="en-GB"/>
        </w:rPr>
        <w:t>。</w:t>
      </w:r>
    </w:p>
    <w:p w14:paraId="4A85AA27">
      <w:pPr>
        <w:spacing w:line="360" w:lineRule="auto"/>
        <w:ind w:firstLine="480" w:firstLineChars="200"/>
        <w:rPr>
          <w:snapToGrid w:val="0"/>
          <w:color w:val="000000"/>
          <w:kern w:val="0"/>
          <w:sz w:val="24"/>
          <w:szCs w:val="24"/>
          <w:lang w:val="en-GB"/>
        </w:rPr>
      </w:pPr>
      <w:r>
        <w:rPr>
          <w:snapToGrid w:val="0"/>
          <w:color w:val="000000"/>
          <w:kern w:val="0"/>
          <w:sz w:val="24"/>
          <w:szCs w:val="24"/>
          <w:lang w:val="en-GB"/>
        </w:rPr>
        <w:t>GB/T 30600 高标准农田建设 通则</w:t>
      </w:r>
    </w:p>
    <w:p w14:paraId="04DD88FE">
      <w:pPr>
        <w:spacing w:line="360" w:lineRule="auto"/>
        <w:ind w:firstLine="480" w:firstLineChars="200"/>
        <w:rPr>
          <w:snapToGrid w:val="0"/>
          <w:color w:val="000000"/>
          <w:kern w:val="0"/>
          <w:sz w:val="24"/>
          <w:szCs w:val="24"/>
          <w:lang w:val="en-GB"/>
        </w:rPr>
      </w:pPr>
      <w:r>
        <w:rPr>
          <w:snapToGrid w:val="0"/>
          <w:color w:val="000000"/>
          <w:kern w:val="0"/>
          <w:sz w:val="24"/>
          <w:szCs w:val="24"/>
          <w:lang w:val="en-GB"/>
        </w:rPr>
        <w:t>GB/T 34818农田水分盈亏量的计算方法</w:t>
      </w:r>
    </w:p>
    <w:p w14:paraId="41DD1E30">
      <w:pPr>
        <w:spacing w:line="360" w:lineRule="auto"/>
        <w:ind w:firstLine="480" w:firstLineChars="200"/>
        <w:rPr>
          <w:snapToGrid w:val="0"/>
          <w:color w:val="000000"/>
          <w:kern w:val="0"/>
          <w:sz w:val="24"/>
          <w:szCs w:val="24"/>
          <w:lang w:val="en-GB"/>
        </w:rPr>
      </w:pPr>
      <w:r>
        <w:rPr>
          <w:snapToGrid w:val="0"/>
          <w:color w:val="000000"/>
          <w:kern w:val="0"/>
          <w:sz w:val="24"/>
          <w:szCs w:val="24"/>
          <w:lang w:val="en-GB"/>
        </w:rPr>
        <w:t>GB/T 28592 降水量等级</w:t>
      </w:r>
    </w:p>
    <w:p w14:paraId="5ADBEDD4">
      <w:pPr>
        <w:spacing w:line="360" w:lineRule="auto"/>
        <w:ind w:firstLine="480" w:firstLineChars="200"/>
        <w:rPr>
          <w:snapToGrid w:val="0"/>
          <w:color w:val="000000"/>
          <w:kern w:val="0"/>
          <w:sz w:val="24"/>
          <w:szCs w:val="24"/>
          <w:lang w:val="en-GB"/>
        </w:rPr>
      </w:pPr>
      <w:r>
        <w:rPr>
          <w:rFonts w:hint="eastAsia"/>
          <w:snapToGrid w:val="0"/>
          <w:color w:val="000000"/>
          <w:kern w:val="0"/>
          <w:sz w:val="24"/>
          <w:szCs w:val="24"/>
          <w:lang w:val="en-GB"/>
        </w:rPr>
        <w:t>NY/T 3823  田沟塘协同防控农田面源污染技术规范</w:t>
      </w:r>
    </w:p>
    <w:p w14:paraId="423FC86A">
      <w:pPr>
        <w:spacing w:line="360" w:lineRule="auto"/>
        <w:ind w:firstLine="480" w:firstLineChars="200"/>
        <w:rPr>
          <w:snapToGrid w:val="0"/>
          <w:color w:val="000000"/>
          <w:kern w:val="0"/>
          <w:sz w:val="24"/>
          <w:szCs w:val="24"/>
          <w:lang w:val="en-GB"/>
        </w:rPr>
      </w:pPr>
      <w:r>
        <w:rPr>
          <w:rFonts w:hint="eastAsia"/>
          <w:snapToGrid w:val="0"/>
          <w:color w:val="000000"/>
          <w:kern w:val="0"/>
          <w:sz w:val="24"/>
          <w:szCs w:val="24"/>
          <w:lang w:val="en-GB"/>
        </w:rPr>
        <w:t>NY/T 3840  南方稻田绿肥种植与利用技术规范</w:t>
      </w:r>
    </w:p>
    <w:p w14:paraId="23F861A7">
      <w:pPr>
        <w:spacing w:line="360" w:lineRule="auto"/>
        <w:ind w:firstLine="480" w:firstLineChars="200"/>
        <w:outlineLvl w:val="2"/>
        <w:rPr>
          <w:rFonts w:ascii="楷体" w:hAnsi="楷体" w:eastAsia="楷体"/>
          <w:b/>
          <w:bCs/>
          <w:snapToGrid w:val="0"/>
          <w:color w:val="000000"/>
          <w:kern w:val="0"/>
          <w:sz w:val="24"/>
          <w:szCs w:val="24"/>
          <w:lang w:val="en-GB"/>
        </w:rPr>
      </w:pPr>
      <w:r>
        <w:rPr>
          <w:rFonts w:ascii="楷体" w:hAnsi="楷体" w:eastAsia="楷体"/>
          <w:b/>
          <w:bCs/>
          <w:snapToGrid w:val="0"/>
          <w:color w:val="000000"/>
          <w:kern w:val="0"/>
          <w:sz w:val="24"/>
          <w:szCs w:val="24"/>
          <w:lang w:val="en-GB"/>
        </w:rPr>
        <w:t>3. 稻田</w:t>
      </w:r>
      <w:bookmarkStart w:id="3" w:name="_Hlk175147400"/>
      <w:r>
        <w:rPr>
          <w:rFonts w:ascii="楷体" w:hAnsi="楷体" w:eastAsia="楷体"/>
          <w:b/>
          <w:bCs/>
          <w:snapToGrid w:val="0"/>
          <w:color w:val="000000"/>
          <w:kern w:val="0"/>
          <w:sz w:val="24"/>
          <w:szCs w:val="24"/>
          <w:lang w:val="en-GB"/>
        </w:rPr>
        <w:t>碳氮排放风险期</w:t>
      </w:r>
      <w:bookmarkEnd w:id="3"/>
      <w:r>
        <w:rPr>
          <w:rFonts w:ascii="楷体" w:hAnsi="楷体" w:eastAsia="楷体"/>
          <w:b/>
          <w:bCs/>
          <w:snapToGrid w:val="0"/>
          <w:color w:val="000000"/>
          <w:kern w:val="0"/>
          <w:sz w:val="24"/>
          <w:szCs w:val="24"/>
          <w:lang w:val="en-GB"/>
        </w:rPr>
        <w:t>的确定及依据</w:t>
      </w:r>
    </w:p>
    <w:p w14:paraId="0AC700AA">
      <w:pPr>
        <w:spacing w:line="360" w:lineRule="auto"/>
        <w:ind w:firstLine="480" w:firstLineChars="200"/>
        <w:rPr>
          <w:snapToGrid w:val="0"/>
          <w:color w:val="000000"/>
          <w:kern w:val="0"/>
          <w:sz w:val="24"/>
          <w:szCs w:val="24"/>
        </w:rPr>
      </w:pPr>
      <w:r>
        <w:rPr>
          <w:snapToGrid w:val="0"/>
          <w:color w:val="000000"/>
          <w:kern w:val="0"/>
          <w:sz w:val="24"/>
          <w:szCs w:val="24"/>
        </w:rPr>
        <w:t>稻田碳氮排放风险期是指CH</w:t>
      </w:r>
      <w:r>
        <w:rPr>
          <w:snapToGrid w:val="0"/>
          <w:color w:val="000000"/>
          <w:kern w:val="0"/>
          <w:sz w:val="24"/>
          <w:szCs w:val="24"/>
          <w:vertAlign w:val="subscript"/>
        </w:rPr>
        <w:t>4</w:t>
      </w:r>
      <w:r>
        <w:rPr>
          <w:snapToGrid w:val="0"/>
          <w:color w:val="000000"/>
          <w:kern w:val="0"/>
          <w:sz w:val="24"/>
          <w:szCs w:val="24"/>
        </w:rPr>
        <w:t>排放通量高和田面水氮素浓度高且易径流流失的时期，以此作为稻田针对性管控的重要依据。目前多以静态箱法测定稻田CH</w:t>
      </w:r>
      <w:r>
        <w:rPr>
          <w:snapToGrid w:val="0"/>
          <w:color w:val="000000"/>
          <w:kern w:val="0"/>
          <w:sz w:val="24"/>
          <w:szCs w:val="24"/>
          <w:vertAlign w:val="subscript"/>
        </w:rPr>
        <w:t>4</w:t>
      </w:r>
      <w:r>
        <w:rPr>
          <w:snapToGrid w:val="0"/>
          <w:color w:val="000000"/>
          <w:kern w:val="0"/>
          <w:sz w:val="24"/>
          <w:szCs w:val="24"/>
        </w:rPr>
        <w:t>排放通量，田面水氮浓度通过混合多个表层水样后，用TOC仪和流动分析仪测定。</w:t>
      </w:r>
    </w:p>
    <w:p w14:paraId="0F7127B1">
      <w:pPr>
        <w:spacing w:line="360" w:lineRule="auto"/>
        <w:ind w:firstLine="480" w:firstLineChars="200"/>
        <w:rPr>
          <w:snapToGrid w:val="0"/>
          <w:color w:val="000000"/>
          <w:kern w:val="0"/>
          <w:sz w:val="24"/>
          <w:szCs w:val="24"/>
        </w:rPr>
      </w:pPr>
      <w:r>
        <w:rPr>
          <w:snapToGrid w:val="0"/>
          <w:color w:val="000000"/>
          <w:kern w:val="0"/>
          <w:sz w:val="24"/>
          <w:szCs w:val="24"/>
        </w:rPr>
        <w:t>在双季稻轮作稻田，水稻季整地泡田过后，泥土表面残留多余的秸秆、杂草和肥料等营养成分充分混合，促进了土壤中有机质分解进程，使稻田土壤和田面水变得更加肥沃。此外，针对豆科绿肥的研究结果均指出，绿肥翻压后约20 d内处于养分快速释放期（李忠义等，2018），土壤溶液及田面水中氮磷浓度也相应提高，而该时期与早稻的整地泡田期重合，若插秧前人为排放泡田水将会导致大量的氮流失。因此，泡田期是稻田氮流失的风险期之一。此外，根据已有研究发现，稻田施肥后的田面水总氮含量迅速升高</w:t>
      </w:r>
      <w:r>
        <w:rPr>
          <w:color w:val="080000"/>
          <w:kern w:val="0"/>
          <w:sz w:val="24"/>
          <w:szCs w:val="24"/>
        </w:rPr>
        <w:t>(Hua et al., 2019)</w:t>
      </w:r>
      <w:r>
        <w:rPr>
          <w:snapToGrid w:val="0"/>
          <w:color w:val="000000"/>
          <w:kern w:val="0"/>
          <w:sz w:val="24"/>
          <w:szCs w:val="24"/>
        </w:rPr>
        <w:t>，之后缓慢下降，在1周后逐渐稳定。在双季稻轮作区，移栽稻基肥期即返青期，直播稻基肥期即播种至三叶期，通常存在高强度降雨导致田面水高度迅速上升而产生径流，有的农民亦会选择排掉稻田多余水分以保证水稻正常生长，而施肥后降雨或人为排水导致的径流会使大量的氮流失 (路路等，2020)。因此，移栽稻返青期、直播稻播种至三叶期及分蘖肥和穗肥后1周内同样为氮排放风险期。</w:t>
      </w:r>
    </w:p>
    <w:p w14:paraId="030C720B">
      <w:pPr>
        <w:spacing w:line="360" w:lineRule="auto"/>
        <w:ind w:firstLine="480" w:firstLineChars="200"/>
        <w:rPr>
          <w:snapToGrid w:val="0"/>
          <w:color w:val="000000"/>
          <w:kern w:val="0"/>
          <w:sz w:val="24"/>
          <w:szCs w:val="24"/>
        </w:rPr>
      </w:pPr>
      <w:r>
        <w:rPr>
          <w:snapToGrid w:val="0"/>
          <w:color w:val="000000"/>
          <w:kern w:val="0"/>
          <w:sz w:val="24"/>
          <w:szCs w:val="24"/>
        </w:rPr>
        <w:t>通过分析已经发表的文献数据总结了稻田CH</w:t>
      </w:r>
      <w:r>
        <w:rPr>
          <w:snapToGrid w:val="0"/>
          <w:color w:val="000000"/>
          <w:kern w:val="0"/>
          <w:sz w:val="24"/>
          <w:szCs w:val="24"/>
          <w:vertAlign w:val="subscript"/>
        </w:rPr>
        <w:t>4</w:t>
      </w:r>
      <w:r>
        <w:rPr>
          <w:snapToGrid w:val="0"/>
          <w:color w:val="000000"/>
          <w:kern w:val="0"/>
          <w:sz w:val="24"/>
          <w:szCs w:val="24"/>
        </w:rPr>
        <w:t>的排放规律。研究发现，在水稻生长季节常规灌溉措施下，由于秸秆和绿肥分解作用和厌氧条件的增强，CH</w:t>
      </w:r>
      <w:r>
        <w:rPr>
          <w:snapToGrid w:val="0"/>
          <w:color w:val="000000"/>
          <w:kern w:val="0"/>
          <w:sz w:val="24"/>
          <w:szCs w:val="24"/>
          <w:vertAlign w:val="subscript"/>
        </w:rPr>
        <w:t>4</w:t>
      </w:r>
      <w:r>
        <w:rPr>
          <w:snapToGrid w:val="0"/>
          <w:color w:val="000000"/>
          <w:kern w:val="0"/>
          <w:sz w:val="24"/>
          <w:szCs w:val="24"/>
        </w:rPr>
        <w:t>排放通量随着水稻的生长而逐渐增加。特别是在水稻分蘖期，由于这一时期生物量迅速增加和根系活动，导致CH</w:t>
      </w:r>
      <w:r>
        <w:rPr>
          <w:snapToGrid w:val="0"/>
          <w:color w:val="000000"/>
          <w:kern w:val="0"/>
          <w:sz w:val="24"/>
          <w:szCs w:val="24"/>
          <w:vertAlign w:val="subscript"/>
        </w:rPr>
        <w:t>4</w:t>
      </w:r>
      <w:r>
        <w:rPr>
          <w:snapToGrid w:val="0"/>
          <w:color w:val="000000"/>
          <w:kern w:val="0"/>
          <w:sz w:val="24"/>
          <w:szCs w:val="24"/>
        </w:rPr>
        <w:t>产生和排放达到峰值（Wang et al., 2024）。然而，进入晒田阶段，由于水分的缺失，厌氧条件被打破，CH</w:t>
      </w:r>
      <w:r>
        <w:rPr>
          <w:snapToGrid w:val="0"/>
          <w:color w:val="000000"/>
          <w:kern w:val="0"/>
          <w:sz w:val="24"/>
          <w:szCs w:val="24"/>
          <w:vertAlign w:val="subscript"/>
        </w:rPr>
        <w:t>4</w:t>
      </w:r>
      <w:r>
        <w:rPr>
          <w:snapToGrid w:val="0"/>
          <w:color w:val="000000"/>
          <w:kern w:val="0"/>
          <w:sz w:val="24"/>
          <w:szCs w:val="24"/>
        </w:rPr>
        <w:t>的产生和排放显著降低。晒田结束后，随着稻田重新覆水，CH</w:t>
      </w:r>
      <w:r>
        <w:rPr>
          <w:snapToGrid w:val="0"/>
          <w:color w:val="000000"/>
          <w:kern w:val="0"/>
          <w:sz w:val="24"/>
          <w:szCs w:val="24"/>
          <w:vertAlign w:val="subscript"/>
        </w:rPr>
        <w:t>4</w:t>
      </w:r>
      <w:r>
        <w:rPr>
          <w:snapToGrid w:val="0"/>
          <w:color w:val="000000"/>
          <w:kern w:val="0"/>
          <w:sz w:val="24"/>
          <w:szCs w:val="24"/>
        </w:rPr>
        <w:t>排放通量逐渐回升，并在拔节孕穗期形成第2个峰值。此后由于秸秆易分解成分消耗殆尽，直至水稻成熟收获，CH</w:t>
      </w:r>
      <w:r>
        <w:rPr>
          <w:snapToGrid w:val="0"/>
          <w:color w:val="000000"/>
          <w:kern w:val="0"/>
          <w:sz w:val="24"/>
          <w:szCs w:val="24"/>
          <w:vertAlign w:val="subscript"/>
        </w:rPr>
        <w:t>4</w:t>
      </w:r>
      <w:r>
        <w:rPr>
          <w:snapToGrid w:val="0"/>
          <w:color w:val="000000"/>
          <w:kern w:val="0"/>
          <w:sz w:val="24"/>
          <w:szCs w:val="24"/>
        </w:rPr>
        <w:t>排放通量维持在较低水平。因此，我们将分蘖至拔节孕穗期界定为CH</w:t>
      </w:r>
      <w:r>
        <w:rPr>
          <w:snapToGrid w:val="0"/>
          <w:color w:val="000000"/>
          <w:kern w:val="0"/>
          <w:sz w:val="24"/>
          <w:szCs w:val="24"/>
          <w:vertAlign w:val="subscript"/>
        </w:rPr>
        <w:t>4</w:t>
      </w:r>
      <w:r>
        <w:rPr>
          <w:snapToGrid w:val="0"/>
          <w:color w:val="000000"/>
          <w:kern w:val="0"/>
          <w:sz w:val="24"/>
          <w:szCs w:val="24"/>
        </w:rPr>
        <w:t>排放的风险期，</w:t>
      </w:r>
      <w:r>
        <w:rPr>
          <w:rFonts w:hint="eastAsia"/>
          <w:snapToGrid w:val="0"/>
          <w:color w:val="000000"/>
          <w:kern w:val="0"/>
          <w:sz w:val="24"/>
          <w:szCs w:val="24"/>
        </w:rPr>
        <w:t>分</w:t>
      </w:r>
      <w:r>
        <w:rPr>
          <w:snapToGrid w:val="0"/>
          <w:color w:val="000000"/>
          <w:kern w:val="0"/>
          <w:sz w:val="24"/>
          <w:szCs w:val="24"/>
        </w:rPr>
        <w:t>蘖肥后</w:t>
      </w:r>
      <w:r>
        <w:rPr>
          <w:rFonts w:hint="eastAsia"/>
          <w:snapToGrid w:val="0"/>
          <w:color w:val="000000"/>
          <w:kern w:val="0"/>
          <w:sz w:val="24"/>
          <w:szCs w:val="24"/>
        </w:rPr>
        <w:t>7d</w:t>
      </w:r>
      <w:r>
        <w:rPr>
          <w:snapToGrid w:val="0"/>
          <w:color w:val="000000"/>
          <w:kern w:val="0"/>
          <w:sz w:val="24"/>
          <w:szCs w:val="24"/>
        </w:rPr>
        <w:t>为碳氮排放叠加风险期。</w:t>
      </w:r>
    </w:p>
    <w:p w14:paraId="0F7FC114">
      <w:pPr>
        <w:rPr>
          <w:rFonts w:eastAsia="仿宋_GB2312"/>
          <w:snapToGrid w:val="0"/>
          <w:color w:val="000000"/>
          <w:kern w:val="0"/>
          <w:sz w:val="32"/>
          <w:szCs w:val="32"/>
        </w:rPr>
      </w:pPr>
      <w:r>
        <w:rPr>
          <w:rFonts w:eastAsia="仿宋_GB2312"/>
          <w:snapToGrid w:val="0"/>
          <w:color w:val="000000"/>
          <w:kern w:val="0"/>
          <w:sz w:val="32"/>
          <w:szCs w:val="32"/>
        </w:rPr>
        <w:drawing>
          <wp:inline distT="0" distB="0" distL="0" distR="0">
            <wp:extent cx="5274945" cy="2372995"/>
            <wp:effectExtent l="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945" cy="2372995"/>
                    </a:xfrm>
                    <a:prstGeom prst="rect">
                      <a:avLst/>
                    </a:prstGeom>
                    <a:noFill/>
                  </pic:spPr>
                </pic:pic>
              </a:graphicData>
            </a:graphic>
          </wp:inline>
        </w:drawing>
      </w:r>
    </w:p>
    <w:p w14:paraId="331ECEC5">
      <w:pPr>
        <w:spacing w:line="360" w:lineRule="auto"/>
        <w:jc w:val="center"/>
        <w:rPr>
          <w:b/>
          <w:bCs/>
          <w:snapToGrid w:val="0"/>
          <w:color w:val="000000"/>
          <w:kern w:val="0"/>
          <w:sz w:val="24"/>
          <w:szCs w:val="24"/>
        </w:rPr>
      </w:pPr>
      <w:r>
        <w:rPr>
          <w:b/>
          <w:bCs/>
          <w:snapToGrid w:val="0"/>
          <w:color w:val="000000"/>
          <w:kern w:val="0"/>
          <w:sz w:val="24"/>
          <w:szCs w:val="24"/>
        </w:rPr>
        <w:t>图1  静态箱法采集CH</w:t>
      </w:r>
      <w:r>
        <w:rPr>
          <w:b/>
          <w:bCs/>
          <w:snapToGrid w:val="0"/>
          <w:color w:val="000000"/>
          <w:kern w:val="0"/>
          <w:sz w:val="24"/>
          <w:szCs w:val="24"/>
          <w:vertAlign w:val="subscript"/>
        </w:rPr>
        <w:t>4</w:t>
      </w:r>
    </w:p>
    <w:p w14:paraId="3FEF3661">
      <w:pPr>
        <w:spacing w:line="360" w:lineRule="auto"/>
        <w:ind w:firstLine="480" w:firstLineChars="200"/>
        <w:outlineLvl w:val="2"/>
        <w:rPr>
          <w:rFonts w:ascii="楷体" w:hAnsi="楷体" w:eastAsia="楷体"/>
          <w:b/>
          <w:bCs/>
          <w:snapToGrid w:val="0"/>
          <w:color w:val="000000"/>
          <w:kern w:val="0"/>
          <w:sz w:val="24"/>
          <w:szCs w:val="24"/>
          <w:lang w:val="en-GB"/>
        </w:rPr>
      </w:pPr>
      <w:r>
        <w:rPr>
          <w:rFonts w:ascii="楷体" w:hAnsi="楷体" w:eastAsia="楷体"/>
          <w:b/>
          <w:bCs/>
          <w:snapToGrid w:val="0"/>
          <w:color w:val="000000"/>
          <w:kern w:val="0"/>
          <w:sz w:val="24"/>
          <w:szCs w:val="24"/>
          <w:lang w:val="en-GB"/>
        </w:rPr>
        <w:t>4. 秸秆还田技术要求及依据</w:t>
      </w:r>
    </w:p>
    <w:p w14:paraId="570606C5">
      <w:pPr>
        <w:spacing w:line="360" w:lineRule="auto"/>
        <w:ind w:firstLine="480" w:firstLineChars="200"/>
        <w:rPr>
          <w:snapToGrid w:val="0"/>
          <w:color w:val="000000"/>
          <w:kern w:val="0"/>
          <w:sz w:val="24"/>
          <w:szCs w:val="24"/>
        </w:rPr>
      </w:pPr>
      <w:r>
        <w:rPr>
          <w:snapToGrid w:val="0"/>
          <w:color w:val="000000"/>
          <w:kern w:val="0"/>
          <w:sz w:val="24"/>
          <w:szCs w:val="24"/>
        </w:rPr>
        <w:t>秸秆还田作为一种常见的农业措施，在增加土壤有机质含量和土壤保育方面发挥着重要的作用。但秸秆在稻田淹水、氧气受限的环境中还田会诱导大量有机质分解，使可溶性有机碳富集，小分子有机质为产甲烷菌代谢提供底物，增加CH</w:t>
      </w:r>
      <w:r>
        <w:rPr>
          <w:snapToGrid w:val="0"/>
          <w:color w:val="000000"/>
          <w:kern w:val="0"/>
          <w:sz w:val="24"/>
          <w:szCs w:val="24"/>
          <w:vertAlign w:val="subscript"/>
        </w:rPr>
        <w:t>4</w:t>
      </w:r>
      <w:r>
        <w:rPr>
          <w:snapToGrid w:val="0"/>
          <w:color w:val="000000"/>
          <w:kern w:val="0"/>
          <w:sz w:val="24"/>
          <w:szCs w:val="24"/>
        </w:rPr>
        <w:t>排放通量</w:t>
      </w:r>
      <w:r>
        <w:rPr>
          <w:color w:val="080000"/>
          <w:kern w:val="0"/>
          <w:sz w:val="24"/>
          <w:szCs w:val="24"/>
        </w:rPr>
        <w:t>(Liu et al., 2022)</w:t>
      </w:r>
      <w:r>
        <w:rPr>
          <w:snapToGrid w:val="0"/>
          <w:color w:val="000000"/>
          <w:kern w:val="0"/>
          <w:sz w:val="24"/>
          <w:szCs w:val="24"/>
        </w:rPr>
        <w:t>。而在水稻轮作系统中充分利用非淹水时期还田，可以大幅缓解CH</w:t>
      </w:r>
      <w:r>
        <w:rPr>
          <w:snapToGrid w:val="0"/>
          <w:color w:val="000000"/>
          <w:kern w:val="0"/>
          <w:sz w:val="24"/>
          <w:szCs w:val="24"/>
          <w:vertAlign w:val="subscript"/>
        </w:rPr>
        <w:t>4</w:t>
      </w:r>
      <w:r>
        <w:rPr>
          <w:snapToGrid w:val="0"/>
          <w:color w:val="000000"/>
          <w:kern w:val="0"/>
          <w:sz w:val="24"/>
          <w:szCs w:val="24"/>
        </w:rPr>
        <w:t>排放。前人研究发现，在稻季开始前30天秸秆还田，可以促进土壤对秸秆的好氧预腐解，有力地缓解了温室气体排放的影响，其缓解效率可达36.3% ~ 43.61%</w:t>
      </w:r>
      <w:r>
        <w:rPr>
          <w:rFonts w:hint="eastAsia"/>
          <w:snapToGrid w:val="0"/>
          <w:color w:val="000000"/>
          <w:kern w:val="0"/>
          <w:sz w:val="24"/>
          <w:szCs w:val="24"/>
        </w:rPr>
        <w:t xml:space="preserve"> </w:t>
      </w:r>
      <w:r>
        <w:rPr>
          <w:color w:val="080000"/>
          <w:kern w:val="0"/>
          <w:sz w:val="24"/>
          <w:szCs w:val="24"/>
        </w:rPr>
        <w:t>(Song et al., 2021)</w:t>
      </w:r>
      <w:r>
        <w:rPr>
          <w:snapToGrid w:val="0"/>
          <w:color w:val="000000"/>
          <w:kern w:val="0"/>
          <w:sz w:val="24"/>
          <w:szCs w:val="24"/>
        </w:rPr>
        <w:t>。然而，在南方双季稻区域，早稻收获和晚稻种植之间基本只有一周左右的时间，因此提前实行秸秆还田显然是不现实的。因此，我们结合实际生产需求，在早稻收获后将秸秆粉碎后直接还田，同时配施腐熟剂，促进秸秆腐解。腐熟剂施用标准参考标准NY/T 3955-2021水稻土地力分级与培肥改良技术规程。江西、湖南等地绿肥秸秆联合还田技术的长期研究指出，冬季种植紫云英配合稻草高茬全量还田为绿肥生长创造比较适宜的温度和水分环境，促进绿肥的干物质积累和养分吸收，较多的绿肥根茬利于形成较高的土壤肥力，与秸秆低留茬还田相比，更有利于水稻产量和土壤地力提升（周国朋等，2017；高菊生等，2020）。在晚稻收获后，距离早稻种植还有很长一段时间。因此，在晚稻收获后，没有必要立即执行秸秆还田措施。相反，应选择在绿肥生物量最大的时刻与绿肥一起翻压还田以实现最佳的产量和生态效益。</w:t>
      </w:r>
    </w:p>
    <w:p w14:paraId="1D3EA41C">
      <w:pPr>
        <w:spacing w:line="360" w:lineRule="auto"/>
        <w:ind w:firstLine="480" w:firstLineChars="200"/>
        <w:outlineLvl w:val="2"/>
        <w:rPr>
          <w:rFonts w:ascii="楷体" w:hAnsi="楷体" w:eastAsia="楷体"/>
          <w:b/>
          <w:bCs/>
          <w:snapToGrid w:val="0"/>
          <w:color w:val="000000"/>
          <w:kern w:val="0"/>
          <w:sz w:val="24"/>
          <w:szCs w:val="24"/>
          <w:lang w:val="en-GB"/>
        </w:rPr>
      </w:pPr>
      <w:r>
        <w:rPr>
          <w:rFonts w:ascii="楷体" w:hAnsi="楷体" w:eastAsia="楷体"/>
          <w:b/>
          <w:bCs/>
          <w:snapToGrid w:val="0"/>
          <w:color w:val="000000"/>
          <w:kern w:val="0"/>
          <w:sz w:val="24"/>
          <w:szCs w:val="24"/>
          <w:lang w:val="en-GB"/>
        </w:rPr>
        <w:t>5. 绿肥还田技术要求及依据</w:t>
      </w:r>
    </w:p>
    <w:p w14:paraId="072A9945">
      <w:pPr>
        <w:spacing w:line="360" w:lineRule="auto"/>
        <w:ind w:firstLine="480" w:firstLineChars="200"/>
        <w:rPr>
          <w:snapToGrid w:val="0"/>
          <w:color w:val="000000"/>
          <w:kern w:val="0"/>
          <w:sz w:val="24"/>
          <w:szCs w:val="24"/>
          <w:lang w:val="en-GB"/>
        </w:rPr>
      </w:pPr>
      <w:r>
        <w:rPr>
          <w:snapToGrid w:val="0"/>
          <w:color w:val="000000"/>
          <w:kern w:val="0"/>
          <w:sz w:val="24"/>
          <w:szCs w:val="24"/>
          <w:lang w:val="en-GB"/>
        </w:rPr>
        <w:t>绿肥指直接翻埋或经堆沤后作肥料施用的绿色植物体，是重要的有机肥源之一，具有增加土壤有机质、提供养分、改善理化及生物学性状、提高保肥保水能力等作用。由于豆科绿肥中含氮量较高，且具有一定固氮功能，因此种植豆科绿肥稻田可适当降低早稻氮肥用量。曹卫东团队基于大量长期试验结果得出结论，认为在冬季种植紫云英的模式下，减少氮肥用量（N）20 % 可保证水稻产量稳定提升，减少40 %氮肥用量（N）时可保证水稻不减产（高嵩涓等，2020）。陈静蕊等（2020）研究结果显示，在稻-稻-紫云英种植模式下，早稻季减少20 % 的氮（N）、磷肥（P</w:t>
      </w:r>
      <w:r>
        <w:rPr>
          <w:snapToGrid w:val="0"/>
          <w:color w:val="000000"/>
          <w:kern w:val="0"/>
          <w:sz w:val="24"/>
          <w:szCs w:val="24"/>
          <w:vertAlign w:val="subscript"/>
          <w:lang w:val="en-GB"/>
        </w:rPr>
        <w:t>2</w:t>
      </w:r>
      <w:r>
        <w:rPr>
          <w:snapToGrid w:val="0"/>
          <w:color w:val="000000"/>
          <w:kern w:val="0"/>
          <w:sz w:val="24"/>
          <w:szCs w:val="24"/>
          <w:lang w:val="en-GB"/>
        </w:rPr>
        <w:t>O</w:t>
      </w:r>
      <w:r>
        <w:rPr>
          <w:snapToGrid w:val="0"/>
          <w:color w:val="000000"/>
          <w:kern w:val="0"/>
          <w:sz w:val="24"/>
          <w:szCs w:val="24"/>
          <w:vertAlign w:val="subscript"/>
          <w:lang w:val="en-GB"/>
        </w:rPr>
        <w:t>5</w:t>
      </w:r>
      <w:r>
        <w:rPr>
          <w:snapToGrid w:val="0"/>
          <w:color w:val="000000"/>
          <w:kern w:val="0"/>
          <w:sz w:val="24"/>
          <w:szCs w:val="24"/>
          <w:lang w:val="en-GB"/>
        </w:rPr>
        <w:t>）投入可减少21.9 %的总氮流失。湖南祁阳站不同绿肥还田的定位试验结果显示，与冬季种植油菜、黑麦草相比，冬季种植紫云英的处理中早晚稻产量均达到最高，且不同年份间产量变异系数最小，因此认为在该地区稻-稻-紫云英是其最佳轮作模式（黄晶等，2016）。此外，由于豆科绿肥氮含量较高，可有效补充水稻生长中所需氮素，降低水稻季氮肥用量，从而减少其流失风险。因此综合考虑肥料施用和效益，在绿肥种类的选择上我们规定宜优选豆科绿肥。</w:t>
      </w:r>
    </w:p>
    <w:p w14:paraId="0846B068">
      <w:pPr>
        <w:spacing w:line="360" w:lineRule="auto"/>
        <w:ind w:firstLine="480" w:firstLineChars="200"/>
        <w:rPr>
          <w:snapToGrid w:val="0"/>
          <w:color w:val="000000"/>
          <w:kern w:val="0"/>
          <w:sz w:val="24"/>
          <w:szCs w:val="24"/>
          <w:lang w:val="en-GB"/>
        </w:rPr>
      </w:pPr>
      <w:r>
        <w:rPr>
          <w:snapToGrid w:val="0"/>
          <w:color w:val="000000"/>
          <w:kern w:val="0"/>
          <w:sz w:val="24"/>
          <w:szCs w:val="24"/>
          <w:lang w:val="en-GB"/>
        </w:rPr>
        <w:t>豆科绿肥基本在3月～4月初进入盛花期，该时期是鲜草产量、总养分含量最高的阶段，此时翻压最能发挥绿肥的肥效（吕玉虎等，2013），由于移栽水稻适应能力较强，可以在翻压后7 d左右插秧，但直播水稻对稻田要求较高，应让绿肥较充分的腐解后撒播，可于早稻直播前15 d还田。因此，为便于早稻移栽前封闭用药、旋耕整地等农事操作的进行，本条规定宜于早稻播栽前10 d～15 d翻压绿肥。豆科绿肥由于C/N较低，新鲜豆科绿肥还田可能不利于土壤碳库稳定，与绿肥或秸秆单独还田相比，连续秸秆-绿肥协同还田对水稻产量及肥力提升的效果最佳（周国朋等，2017；高菊生等，2020）。同时，将早稻基肥与绿肥、秸秆同时翻压还田，一方面有利于绿肥的腐解，促进绿肥养分在早稻季的释放，另一方面，有利于降低基肥施用后田面水氮磷浓度（杨滨娟等，2018）。因此建议将绿肥、晚稻秸秆与早稻基肥联合翻压还田。</w:t>
      </w:r>
    </w:p>
    <w:p w14:paraId="1AEA2C12">
      <w:pPr>
        <w:spacing w:line="360" w:lineRule="auto"/>
        <w:ind w:firstLine="480" w:firstLineChars="200"/>
        <w:rPr>
          <w:snapToGrid w:val="0"/>
          <w:color w:val="000000"/>
          <w:kern w:val="0"/>
          <w:sz w:val="24"/>
          <w:szCs w:val="24"/>
          <w:lang w:val="en-GB"/>
        </w:rPr>
      </w:pPr>
      <w:r>
        <w:rPr>
          <w:snapToGrid w:val="0"/>
          <w:color w:val="000000"/>
          <w:kern w:val="0"/>
          <w:sz w:val="24"/>
          <w:szCs w:val="24"/>
          <w:lang w:val="en-GB"/>
        </w:rPr>
        <w:t>除上述要求外，绿肥种子质量要求、水分管理要求、还田沤制要求等其他管理措施应符合NY/T 3840的规定。</w:t>
      </w:r>
    </w:p>
    <w:p w14:paraId="24A98169">
      <w:pPr>
        <w:spacing w:line="360" w:lineRule="auto"/>
        <w:ind w:firstLine="480" w:firstLineChars="200"/>
        <w:outlineLvl w:val="2"/>
        <w:rPr>
          <w:rFonts w:ascii="楷体" w:hAnsi="楷体" w:eastAsia="楷体"/>
          <w:b/>
          <w:bCs/>
          <w:snapToGrid w:val="0"/>
          <w:color w:val="000000"/>
          <w:kern w:val="0"/>
          <w:sz w:val="24"/>
          <w:szCs w:val="24"/>
          <w:lang w:val="en-GB"/>
        </w:rPr>
      </w:pPr>
      <w:r>
        <w:rPr>
          <w:rFonts w:ascii="楷体" w:hAnsi="楷体" w:eastAsia="楷体"/>
          <w:b/>
          <w:bCs/>
          <w:snapToGrid w:val="0"/>
          <w:color w:val="000000"/>
          <w:kern w:val="0"/>
          <w:sz w:val="24"/>
          <w:szCs w:val="24"/>
          <w:lang w:val="en-GB"/>
        </w:rPr>
        <w:t>5. 施肥技术要求的确定及依据</w:t>
      </w:r>
    </w:p>
    <w:p w14:paraId="15D66EF1">
      <w:pPr>
        <w:spacing w:line="360" w:lineRule="auto"/>
        <w:ind w:firstLine="480" w:firstLineChars="200"/>
        <w:rPr>
          <w:snapToGrid w:val="0"/>
          <w:color w:val="000000"/>
          <w:kern w:val="0"/>
          <w:sz w:val="24"/>
          <w:szCs w:val="24"/>
        </w:rPr>
      </w:pPr>
      <w:r>
        <w:rPr>
          <w:snapToGrid w:val="0"/>
          <w:color w:val="000000"/>
          <w:kern w:val="0"/>
          <w:sz w:val="24"/>
          <w:szCs w:val="24"/>
        </w:rPr>
        <w:t>由于水稻种植中水、肥管理粗放，氮肥利用率仅为35%（农业部，2013），为提高氮肥利用率，降低环境污染出台了一系列的指标意见确定施肥量及配比。例如，2022年中华人民共和国农业农村部发表了《水稻科学施肥指导意见》，该文件详细列出了不同水稻种植区域的施肥原则和建议；全国农业技术推广服务中心和农业农村部科学施肥专家指导组发布《2022年水稻科学施肥指导意见》，此外，根据不同地区的气候，土壤基础地力等不同，各省市也推出了相关施肥指导意见。因此，本标准中的施肥量宜依据地方农业农村部门发布的科学施肥指导意见确定施肥量和配比。</w:t>
      </w:r>
    </w:p>
    <w:p w14:paraId="5E6AC633">
      <w:pPr>
        <w:spacing w:line="360" w:lineRule="auto"/>
        <w:ind w:firstLine="480" w:firstLineChars="200"/>
        <w:rPr>
          <w:snapToGrid w:val="0"/>
          <w:color w:val="000000"/>
          <w:kern w:val="0"/>
          <w:sz w:val="24"/>
          <w:szCs w:val="24"/>
        </w:rPr>
      </w:pPr>
      <w:r>
        <w:rPr>
          <w:snapToGrid w:val="0"/>
          <w:color w:val="000000"/>
          <w:kern w:val="0"/>
          <w:sz w:val="24"/>
          <w:szCs w:val="24"/>
        </w:rPr>
        <w:t>通过水稻季施用缓/控释肥能够在施用后减慢养分释放速率或控制养分释放时间，满足作物整个生长期对养分的需求，从而提高肥料的利用率。同时这类肥料可以减少养分流失，降低因肥料浸出、渗透和挥发导致的环境污染。怀燕等（2020）在浙江的研究表明复合肥减量10%侧深施（90%CFD）、缓释肥（缓释肥为沃夫特水稻专用肥，由山东金正大生态工程股份有限公司生产，其中N、P</w:t>
      </w:r>
      <w:r>
        <w:rPr>
          <w:snapToGrid w:val="0"/>
          <w:color w:val="000000"/>
          <w:kern w:val="0"/>
          <w:sz w:val="24"/>
          <w:szCs w:val="24"/>
          <w:vertAlign w:val="subscript"/>
        </w:rPr>
        <w:t>2</w:t>
      </w:r>
      <w:r>
        <w:rPr>
          <w:snapToGrid w:val="0"/>
          <w:color w:val="000000"/>
          <w:kern w:val="0"/>
          <w:sz w:val="24"/>
          <w:szCs w:val="24"/>
        </w:rPr>
        <w:t>O</w:t>
      </w:r>
      <w:r>
        <w:rPr>
          <w:snapToGrid w:val="0"/>
          <w:color w:val="000000"/>
          <w:kern w:val="0"/>
          <w:sz w:val="24"/>
          <w:szCs w:val="24"/>
          <w:vertAlign w:val="subscript"/>
        </w:rPr>
        <w:t>5</w:t>
      </w:r>
      <w:r>
        <w:rPr>
          <w:snapToGrid w:val="0"/>
          <w:color w:val="000000"/>
          <w:kern w:val="0"/>
          <w:sz w:val="24"/>
          <w:szCs w:val="24"/>
        </w:rPr>
        <w:t>、K</w:t>
      </w:r>
      <w:r>
        <w:rPr>
          <w:snapToGrid w:val="0"/>
          <w:color w:val="000000"/>
          <w:kern w:val="0"/>
          <w:sz w:val="24"/>
          <w:szCs w:val="24"/>
          <w:vertAlign w:val="subscript"/>
        </w:rPr>
        <w:t>2</w:t>
      </w:r>
      <w:r>
        <w:rPr>
          <w:snapToGrid w:val="0"/>
          <w:color w:val="000000"/>
          <w:kern w:val="0"/>
          <w:sz w:val="24"/>
          <w:szCs w:val="24"/>
        </w:rPr>
        <w:t>O质量分数分别为22%、8%和12%。）减量20%撒施（80%CRF）和缓释肥减量20%侧深施（80%CRFD）处理的水稻产量与常规施肥（CF）间差异都不显著，而稻田氨挥发总量和挥发率都显著低于常规施肥处理，氮肥表观利用率则显著高于常规施肥处理。王强等（2018）通过研究筛选得出90d释放期的树脂包膜尿素（N42%）和60d释放期的聚氨酯包膜尿素（N44%）是能满足长江下游水稻一次性施肥需求的缓/控释氮肥品种，两种控释尿素分别与40%的普通尿素配合一次性施用，其产量与普通尿素分次施用在统计学上持平且呈略有增产的趋势，且分蘖数、有效穗、实粒数和千粒重也有增加。虽然专用肥、缓/控释肥、稳定性肥料、配方肥成本相比于普通复合肥成本高，但是可以通过节省的人工成本来弥补由于缓/控释肥施用带来的肥料成本的增加。</w:t>
      </w:r>
    </w:p>
    <w:p w14:paraId="41428AA3">
      <w:pPr>
        <w:spacing w:line="360" w:lineRule="auto"/>
        <w:ind w:firstLine="480" w:firstLineChars="200"/>
        <w:outlineLvl w:val="2"/>
        <w:rPr>
          <w:rFonts w:ascii="楷体" w:hAnsi="楷体" w:eastAsia="楷体"/>
          <w:b/>
          <w:bCs/>
          <w:snapToGrid w:val="0"/>
          <w:color w:val="000000"/>
          <w:kern w:val="0"/>
          <w:sz w:val="24"/>
          <w:szCs w:val="24"/>
          <w:lang w:val="en-GB"/>
        </w:rPr>
      </w:pPr>
      <w:r>
        <w:rPr>
          <w:rFonts w:ascii="楷体" w:hAnsi="楷体" w:eastAsia="楷体"/>
          <w:b/>
          <w:bCs/>
          <w:snapToGrid w:val="0"/>
          <w:color w:val="000000"/>
          <w:kern w:val="0"/>
          <w:sz w:val="24"/>
          <w:szCs w:val="24"/>
          <w:lang w:val="en-GB"/>
        </w:rPr>
        <w:t>6. 稻田水分管理要求的确定及依据</w:t>
      </w:r>
    </w:p>
    <w:p w14:paraId="30CD6F93">
      <w:pPr>
        <w:spacing w:line="360" w:lineRule="auto"/>
        <w:ind w:firstLine="480" w:firstLineChars="200"/>
        <w:rPr>
          <w:snapToGrid w:val="0"/>
          <w:color w:val="000000"/>
          <w:kern w:val="0"/>
          <w:sz w:val="24"/>
          <w:szCs w:val="24"/>
        </w:rPr>
      </w:pPr>
      <w:r>
        <w:rPr>
          <w:snapToGrid w:val="0"/>
          <w:color w:val="000000"/>
          <w:kern w:val="0"/>
          <w:sz w:val="24"/>
          <w:szCs w:val="24"/>
        </w:rPr>
        <w:t>在我国水稻主产区，稻田多以灌排单元的形式管理，主要由稻田及紧邻稻田的沟渠两部分组成。灌排单元系统内的沟渠作为开放系统承接多途径水的输入，不仅起到灌溉、排水、蓄水的功能，在灌排单元系统的水质净化和CH</w:t>
      </w:r>
      <w:r>
        <w:rPr>
          <w:snapToGrid w:val="0"/>
          <w:color w:val="000000"/>
          <w:kern w:val="0"/>
          <w:sz w:val="24"/>
          <w:szCs w:val="24"/>
          <w:vertAlign w:val="subscript"/>
        </w:rPr>
        <w:t>4</w:t>
      </w:r>
      <w:r>
        <w:rPr>
          <w:snapToGrid w:val="0"/>
          <w:color w:val="000000"/>
          <w:kern w:val="0"/>
          <w:sz w:val="24"/>
          <w:szCs w:val="24"/>
        </w:rPr>
        <w:t>减排方面也发挥了重要作用。依据稻田施用基肥和追肥后1周氮径流流失负荷占整个生育期的50%以上，施用基肥和追肥后1周确定为稻田灌排单元面源污染流失风险期。在风险期之前，通过</w:t>
      </w:r>
      <w:bookmarkStart w:id="4" w:name="_Hlk175304168"/>
      <w:r>
        <w:rPr>
          <w:snapToGrid w:val="0"/>
          <w:color w:val="000000"/>
          <w:kern w:val="0"/>
          <w:sz w:val="24"/>
          <w:szCs w:val="24"/>
        </w:rPr>
        <w:t>适当降低稻田田面水高度和排放灌排单元系统内沟、塘存水，腾出库容以拦蓄稻田排水，可以有效缓解氮径流损失量</w:t>
      </w:r>
      <w:bookmarkEnd w:id="4"/>
      <w:r>
        <w:rPr>
          <w:snapToGrid w:val="0"/>
          <w:color w:val="000000"/>
          <w:kern w:val="0"/>
          <w:sz w:val="24"/>
          <w:szCs w:val="24"/>
        </w:rPr>
        <w:t>。根据沟渠通常占据稻田总面积的5%~8%，且深度介于1~1.5m之间。沟渠蓄水深度的具体要求为：在氮素流失的关键时期，沟渠蓄水至低于田面70 cm以上，这不仅确保了稻田至少1次的灌溉需求，同时也能够承接至少40 mm的稻田径流。在非氮素流失风险期，沟渠蓄水应设置为低于田面40 cm以上，以保证至少2次的灌溉量，并能承接至少20 mm的稻田径流。具体的稻田灌溉上限要求：返青期田面水层20～</w:t>
      </w:r>
      <w:r>
        <w:rPr>
          <w:rFonts w:hint="eastAsia"/>
          <w:snapToGrid w:val="0"/>
          <w:color w:val="000000"/>
          <w:kern w:val="0"/>
          <w:sz w:val="24"/>
          <w:szCs w:val="24"/>
        </w:rPr>
        <w:t>4</w:t>
      </w:r>
      <w:r>
        <w:rPr>
          <w:snapToGrid w:val="0"/>
          <w:color w:val="000000"/>
          <w:kern w:val="0"/>
          <w:sz w:val="24"/>
          <w:szCs w:val="24"/>
        </w:rPr>
        <w:t>0mm；分蘖拔节期田面水层20～40mm；孕穗期至抽穗期40～60mm；乳熟期至黄熟期田面水层20～30mm；成熟期不灌溉。</w:t>
      </w:r>
    </w:p>
    <w:p w14:paraId="543E2481">
      <w:pPr>
        <w:spacing w:line="360" w:lineRule="auto"/>
        <w:ind w:firstLine="480" w:firstLineChars="200"/>
        <w:rPr>
          <w:snapToGrid w:val="0"/>
          <w:color w:val="000000"/>
          <w:kern w:val="0"/>
          <w:sz w:val="24"/>
          <w:szCs w:val="24"/>
        </w:rPr>
      </w:pPr>
      <w:r>
        <w:rPr>
          <w:snapToGrid w:val="0"/>
          <w:color w:val="000000"/>
          <w:kern w:val="0"/>
          <w:sz w:val="24"/>
          <w:szCs w:val="24"/>
        </w:rPr>
        <w:t>在大量研究的基础上，确定了稻田水分管理方式会显著影响土壤Eh，适度的稻田晒田有利于通过增加土壤O</w:t>
      </w:r>
      <w:r>
        <w:rPr>
          <w:snapToGrid w:val="0"/>
          <w:color w:val="000000"/>
          <w:kern w:val="0"/>
          <w:sz w:val="24"/>
          <w:szCs w:val="24"/>
          <w:vertAlign w:val="subscript"/>
        </w:rPr>
        <w:t>2</w:t>
      </w:r>
      <w:r>
        <w:rPr>
          <w:snapToGrid w:val="0"/>
          <w:color w:val="000000"/>
          <w:kern w:val="0"/>
          <w:sz w:val="24"/>
          <w:szCs w:val="24"/>
        </w:rPr>
        <w:t>抑制产甲烷菌，并通过增加CH</w:t>
      </w:r>
      <w:r>
        <w:rPr>
          <w:snapToGrid w:val="0"/>
          <w:color w:val="000000"/>
          <w:kern w:val="0"/>
          <w:sz w:val="24"/>
          <w:szCs w:val="24"/>
          <w:vertAlign w:val="subscript"/>
        </w:rPr>
        <w:t>4</w:t>
      </w:r>
      <w:r>
        <w:rPr>
          <w:snapToGrid w:val="0"/>
          <w:color w:val="000000"/>
          <w:kern w:val="0"/>
          <w:sz w:val="24"/>
          <w:szCs w:val="24"/>
        </w:rPr>
        <w:t>氧化减少CH</w:t>
      </w:r>
      <w:r>
        <w:rPr>
          <w:snapToGrid w:val="0"/>
          <w:color w:val="000000"/>
          <w:kern w:val="0"/>
          <w:sz w:val="24"/>
          <w:szCs w:val="24"/>
          <w:vertAlign w:val="subscript"/>
        </w:rPr>
        <w:t>4</w:t>
      </w:r>
      <w:r>
        <w:rPr>
          <w:snapToGrid w:val="0"/>
          <w:color w:val="000000"/>
          <w:kern w:val="0"/>
          <w:sz w:val="24"/>
          <w:szCs w:val="24"/>
        </w:rPr>
        <w:t>排放</w:t>
      </w:r>
      <w:r>
        <w:rPr>
          <w:color w:val="080000"/>
          <w:kern w:val="0"/>
          <w:sz w:val="24"/>
          <w:szCs w:val="24"/>
        </w:rPr>
        <w:t>(Toma et al., 2021)</w:t>
      </w:r>
      <w:r>
        <w:rPr>
          <w:snapToGrid w:val="0"/>
          <w:color w:val="000000"/>
          <w:kern w:val="0"/>
          <w:sz w:val="24"/>
          <w:szCs w:val="24"/>
        </w:rPr>
        <w:t>。然而，传统间歇灌溉会导致粮食产量显著下降</w:t>
      </w:r>
      <w:r>
        <w:rPr>
          <w:color w:val="080000"/>
          <w:kern w:val="0"/>
          <w:sz w:val="24"/>
          <w:szCs w:val="24"/>
        </w:rPr>
        <w:t>(Cowan et al., 2021)</w:t>
      </w:r>
      <w:r>
        <w:rPr>
          <w:snapToGrid w:val="0"/>
          <w:color w:val="000000"/>
          <w:kern w:val="0"/>
          <w:sz w:val="24"/>
          <w:szCs w:val="24"/>
        </w:rPr>
        <w:t>。综合考虑水稻需水规律和CH</w:t>
      </w:r>
      <w:r>
        <w:rPr>
          <w:snapToGrid w:val="0"/>
          <w:color w:val="000000"/>
          <w:kern w:val="0"/>
          <w:sz w:val="24"/>
          <w:szCs w:val="24"/>
          <w:vertAlign w:val="subscript"/>
        </w:rPr>
        <w:t>4</w:t>
      </w:r>
      <w:r>
        <w:rPr>
          <w:snapToGrid w:val="0"/>
          <w:color w:val="000000"/>
          <w:kern w:val="0"/>
          <w:sz w:val="24"/>
          <w:szCs w:val="24"/>
        </w:rPr>
        <w:t>排放规律，通过控制土壤含水率这一关键因子就能达到CH</w:t>
      </w:r>
      <w:r>
        <w:rPr>
          <w:snapToGrid w:val="0"/>
          <w:color w:val="000000"/>
          <w:kern w:val="0"/>
          <w:sz w:val="24"/>
          <w:szCs w:val="24"/>
          <w:vertAlign w:val="subscript"/>
        </w:rPr>
        <w:t>4</w:t>
      </w:r>
      <w:r>
        <w:rPr>
          <w:snapToGrid w:val="0"/>
          <w:color w:val="000000"/>
          <w:kern w:val="0"/>
          <w:sz w:val="24"/>
          <w:szCs w:val="24"/>
        </w:rPr>
        <w:t>减排和稳产的双赢。研究表明，土壤孔隙含水率与CH</w:t>
      </w:r>
      <w:r>
        <w:rPr>
          <w:snapToGrid w:val="0"/>
          <w:color w:val="000000"/>
          <w:kern w:val="0"/>
          <w:sz w:val="24"/>
          <w:szCs w:val="24"/>
          <w:vertAlign w:val="subscript"/>
        </w:rPr>
        <w:t>4</w:t>
      </w:r>
      <w:r>
        <w:rPr>
          <w:snapToGrid w:val="0"/>
          <w:color w:val="000000"/>
          <w:kern w:val="0"/>
          <w:sz w:val="24"/>
          <w:szCs w:val="24"/>
        </w:rPr>
        <w:t>排放通量呈显著指数关系，当孔隙含水率低于70%~80%时CH</w:t>
      </w:r>
      <w:r>
        <w:rPr>
          <w:snapToGrid w:val="0"/>
          <w:color w:val="000000"/>
          <w:kern w:val="0"/>
          <w:sz w:val="24"/>
          <w:szCs w:val="24"/>
          <w:vertAlign w:val="subscript"/>
        </w:rPr>
        <w:t>4</w:t>
      </w:r>
      <w:r>
        <w:rPr>
          <w:snapToGrid w:val="0"/>
          <w:color w:val="000000"/>
          <w:kern w:val="0"/>
          <w:sz w:val="24"/>
          <w:szCs w:val="24"/>
        </w:rPr>
        <w:t>将不再排放，同时保持水稻分蘖中前期孔隙含水率在80 ~ 100%之间，水稻并不会减产（庄德续 等, 2014）。因此，通过设置控制实验，将CH</w:t>
      </w:r>
      <w:r>
        <w:rPr>
          <w:snapToGrid w:val="0"/>
          <w:color w:val="000000"/>
          <w:kern w:val="0"/>
          <w:sz w:val="24"/>
          <w:szCs w:val="24"/>
          <w:vertAlign w:val="subscript"/>
        </w:rPr>
        <w:t>4</w:t>
      </w:r>
      <w:r>
        <w:rPr>
          <w:snapToGrid w:val="0"/>
          <w:color w:val="000000"/>
          <w:kern w:val="0"/>
          <w:sz w:val="24"/>
          <w:szCs w:val="24"/>
        </w:rPr>
        <w:t>排放风险期土壤含水率下限设置为孔隙含水率75%~85%，可以减少约60%的CH</w:t>
      </w:r>
      <w:r>
        <w:rPr>
          <w:snapToGrid w:val="0"/>
          <w:color w:val="000000"/>
          <w:kern w:val="0"/>
          <w:sz w:val="24"/>
          <w:szCs w:val="24"/>
          <w:vertAlign w:val="subscript"/>
        </w:rPr>
        <w:t>4</w:t>
      </w:r>
      <w:r>
        <w:rPr>
          <w:snapToGrid w:val="0"/>
          <w:color w:val="000000"/>
          <w:kern w:val="0"/>
          <w:sz w:val="24"/>
          <w:szCs w:val="24"/>
        </w:rPr>
        <w:t>排放量。</w:t>
      </w:r>
      <w:r>
        <w:rPr>
          <w:rFonts w:hint="eastAsia"/>
          <w:snapToGrid w:val="0"/>
          <w:color w:val="000000"/>
          <w:kern w:val="0"/>
          <w:sz w:val="24"/>
          <w:szCs w:val="24"/>
        </w:rPr>
        <w:t>通过已有的研究进展和我们对</w:t>
      </w:r>
      <w:r>
        <w:rPr>
          <w:rFonts w:hint="eastAsia"/>
          <w:snapToGrid w:val="0"/>
          <w:color w:val="000000"/>
          <w:kern w:val="0"/>
          <w:sz w:val="24"/>
          <w:szCs w:val="24"/>
          <w:lang w:eastAsia="zh-CN"/>
        </w:rPr>
        <w:t>不同</w:t>
      </w:r>
      <w:r>
        <w:rPr>
          <w:rFonts w:hint="eastAsia"/>
          <w:snapToGrid w:val="0"/>
          <w:color w:val="000000"/>
          <w:kern w:val="0"/>
          <w:sz w:val="24"/>
          <w:szCs w:val="24"/>
        </w:rPr>
        <w:t>水分含量下的土壤情况，我们也确定了灌溉的下限，即不造成水稻水分胁迫所需的最低水分含量。泡田和返青期需要保证秧苗的存活率，因此我们的灌溉下限设置为田面水层在5mm以上，另外考虑到早稻季温度较低，因此，当环境温度低于15℃，为了保证水稻的生长，应适当提高田面水深度到30~50mm。在早稻和晚稻分蘖期到拔节期实施间歇性控制灌溉。当土壤水分含量下降到75</w:t>
      </w:r>
      <w:r>
        <w:rPr>
          <w:rFonts w:hint="eastAsia"/>
          <w:snapToGrid w:val="0"/>
          <w:color w:val="000000"/>
          <w:kern w:val="0"/>
          <w:sz w:val="24"/>
          <w:szCs w:val="24"/>
          <w:lang w:eastAsia="zh-CN"/>
        </w:rPr>
        <w:t>%～</w:t>
      </w:r>
      <w:r>
        <w:rPr>
          <w:rFonts w:hint="eastAsia"/>
          <w:snapToGrid w:val="0"/>
          <w:color w:val="000000"/>
          <w:kern w:val="0"/>
          <w:sz w:val="24"/>
          <w:szCs w:val="24"/>
        </w:rPr>
        <w:t>80%之间，也就是田泥粘脚稍沉实的状态时进行下一次灌溉。单次的灌溉量依据</w:t>
      </w:r>
      <w:r>
        <w:rPr>
          <w:snapToGrid w:val="0"/>
          <w:color w:val="000000"/>
          <w:kern w:val="0"/>
          <w:sz w:val="24"/>
          <w:szCs w:val="24"/>
        </w:rPr>
        <w:t>作物蒸散量</w:t>
      </w:r>
      <w:r>
        <w:rPr>
          <w:rFonts w:hint="eastAsia"/>
          <w:snapToGrid w:val="0"/>
          <w:color w:val="000000"/>
          <w:kern w:val="0"/>
          <w:sz w:val="24"/>
          <w:szCs w:val="24"/>
        </w:rPr>
        <w:t>，</w:t>
      </w:r>
      <w:r>
        <w:rPr>
          <w:snapToGrid w:val="0"/>
          <w:color w:val="000000"/>
          <w:kern w:val="0"/>
          <w:sz w:val="24"/>
          <w:szCs w:val="24"/>
        </w:rPr>
        <w:t>稻田渗漏量</w:t>
      </w:r>
      <w:r>
        <w:rPr>
          <w:rFonts w:hint="eastAsia"/>
          <w:snapToGrid w:val="0"/>
          <w:color w:val="000000"/>
          <w:kern w:val="0"/>
          <w:sz w:val="24"/>
          <w:szCs w:val="24"/>
        </w:rPr>
        <w:t>和降雨量综合计算得出。</w:t>
      </w:r>
    </w:p>
    <w:p w14:paraId="6F0B5B5A">
      <w:pPr>
        <w:spacing w:line="360" w:lineRule="auto"/>
        <w:ind w:firstLine="480" w:firstLineChars="200"/>
        <w:rPr>
          <w:snapToGrid w:val="0"/>
          <w:color w:val="000000"/>
          <w:kern w:val="0"/>
          <w:sz w:val="24"/>
          <w:szCs w:val="24"/>
        </w:rPr>
      </w:pPr>
      <w:r>
        <w:rPr>
          <w:snapToGrid w:val="0"/>
          <w:color w:val="000000"/>
          <w:kern w:val="0"/>
          <w:sz w:val="24"/>
          <w:szCs w:val="24"/>
        </w:rPr>
        <w:t>根据计算作物蒸散量和稻田渗漏量，在晴朗天气条件下，对于稻田的壤土土壤类型，从田面水层20~40mm到稻田表面无明显水层需要4~5天，从稻田表面无明显积水至10~20 cm土层含水率达到孔隙含水率75%~85%时需要2~3天，此时土壤表现为表土发硬，田边发白。因此，分蘖期灌溉间歇时长宜为6~8天。砂土由于透水性增加，水分渗漏速率加快，因此灌溉间歇时长应适度减少1~2天；考虑到粘壤土较好的持水性和较低的渗透性，灌溉间歇时长应适度增加1~2天。分蘖盛期需要完全晒田7~10天，因此，从表面水层40mm到完全晒田结束需要13~15天。孕穗至灌浆期水稻耐旱能力上升，灌溉下限为孔隙含水率70%~80%，此时土壤表现为田边表土发白，有细裂缝，壤土灌溉间歇时长为8～10天，砂壤土为7~8天，黏土为9~12天。</w:t>
      </w:r>
      <w:r>
        <w:rPr>
          <w:rFonts w:hint="eastAsia"/>
          <w:snapToGrid w:val="0"/>
          <w:color w:val="000000"/>
          <w:kern w:val="0"/>
          <w:sz w:val="24"/>
          <w:szCs w:val="24"/>
        </w:rPr>
        <w:t>由于早稻季降雨量较多，因此，在早稻季进行灌水时需要综合考虑降水情况，适当降低灌溉水量。</w:t>
      </w:r>
    </w:p>
    <w:p w14:paraId="21BC7A84">
      <w:pPr>
        <w:spacing w:line="360" w:lineRule="auto"/>
        <w:ind w:firstLine="480" w:firstLineChars="200"/>
        <w:rPr>
          <w:snapToGrid w:val="0"/>
          <w:color w:val="000000"/>
          <w:kern w:val="0"/>
          <w:sz w:val="24"/>
          <w:szCs w:val="24"/>
        </w:rPr>
      </w:pPr>
      <w:r>
        <w:rPr>
          <w:snapToGrid w:val="0"/>
          <w:color w:val="000000"/>
          <w:kern w:val="0"/>
          <w:sz w:val="24"/>
          <w:szCs w:val="24"/>
        </w:rPr>
        <w:t>灌溉水量和灌溉时间间隔的确定应依据FAO提出的修正参考作物蒸散量（Reference Crop Evapotranspiration, ETo）和GB/T 34818-2017 农田水分盈亏量的计算方法，同时考虑实际测量的稻田渗漏率。降雨直接影响田面水深、水分入渗速率及参考作物蒸散量。因此，本标准综合考虑了降雨对灌溉需求的潜在影响，提出了相应的灌溉间隔调整方案：小雨天气每发生1天，灌溉间隔时长增加1天；中雨时，根据降雨量，每1天的降雨可使灌溉间隔延长2至3天；大雨情况下，每1天的降雨增加灌溉间隔3至6天；暴雨则增加6天的灌溉间隔时长。所有降雨量的等级划分均按照GB/T 28592-2012标准执行。</w:t>
      </w:r>
    </w:p>
    <w:p w14:paraId="56B4E64E">
      <w:pPr>
        <w:spacing w:line="360" w:lineRule="auto"/>
        <w:ind w:firstLine="480" w:firstLineChars="200"/>
        <w:rPr>
          <w:snapToGrid w:val="0"/>
          <w:color w:val="000000"/>
          <w:kern w:val="0"/>
          <w:sz w:val="24"/>
          <w:szCs w:val="24"/>
        </w:rPr>
      </w:pPr>
      <w:r>
        <w:rPr>
          <w:snapToGrid w:val="0"/>
          <w:color w:val="000000"/>
          <w:kern w:val="0"/>
          <w:sz w:val="24"/>
          <w:szCs w:val="24"/>
        </w:rPr>
        <w:t>下表为</w:t>
      </w:r>
      <w:r>
        <w:rPr>
          <w:rFonts w:hint="eastAsia"/>
          <w:snapToGrid w:val="0"/>
          <w:color w:val="000000"/>
          <w:kern w:val="0"/>
          <w:sz w:val="24"/>
          <w:szCs w:val="24"/>
        </w:rPr>
        <w:t>水稻生育期内水分调控目标及灌溉管理推荐值</w:t>
      </w:r>
      <w:r>
        <w:rPr>
          <w:snapToGrid w:val="0"/>
          <w:color w:val="000000"/>
          <w:kern w:val="0"/>
          <w:sz w:val="24"/>
          <w:szCs w:val="24"/>
        </w:rPr>
        <w:t>。</w:t>
      </w:r>
    </w:p>
    <w:p w14:paraId="74F41BB2">
      <w:pPr>
        <w:pStyle w:val="26"/>
        <w:spacing w:before="312" w:beforeLines="100" w:after="312" w:afterLines="100"/>
        <w:jc w:val="center"/>
        <w:rPr>
          <w:rFonts w:ascii="Times New Roman"/>
          <w:color w:val="0D0D0D"/>
        </w:rPr>
      </w:pPr>
      <w:bookmarkStart w:id="5" w:name="OLE_LINK8"/>
      <w:r>
        <w:rPr>
          <w:rFonts w:ascii="Times New Roman"/>
          <w:color w:val="0D0D0D"/>
        </w:rPr>
        <w:t xml:space="preserve">表B.1 </w:t>
      </w:r>
      <w:r>
        <w:rPr>
          <w:rFonts w:hint="eastAsia" w:ascii="Times New Roman"/>
          <w:color w:val="0D0D0D"/>
        </w:rPr>
        <w:t>风险期水分调控目标及灌溉管理推荐值</w:t>
      </w:r>
    </w:p>
    <w:tbl>
      <w:tblPr>
        <w:tblStyle w:val="13"/>
        <w:tblW w:w="0" w:type="auto"/>
        <w:jc w:val="center"/>
        <w:tblLayout w:type="autofit"/>
        <w:tblCellMar>
          <w:top w:w="0" w:type="dxa"/>
          <w:left w:w="108" w:type="dxa"/>
          <w:bottom w:w="0" w:type="dxa"/>
          <w:right w:w="108" w:type="dxa"/>
        </w:tblCellMar>
      </w:tblPr>
      <w:tblGrid>
        <w:gridCol w:w="534"/>
        <w:gridCol w:w="992"/>
        <w:gridCol w:w="1048"/>
        <w:gridCol w:w="1012"/>
        <w:gridCol w:w="1068"/>
        <w:gridCol w:w="1031"/>
        <w:gridCol w:w="863"/>
        <w:gridCol w:w="952"/>
        <w:gridCol w:w="1022"/>
      </w:tblGrid>
      <w:tr w14:paraId="4F65C928">
        <w:trPr>
          <w:trHeight w:val="457" w:hRule="atLeast"/>
          <w:jc w:val="center"/>
        </w:trPr>
        <w:tc>
          <w:tcPr>
            <w:tcW w:w="534" w:type="dxa"/>
            <w:vMerge w:val="restart"/>
            <w:tcBorders>
              <w:top w:val="single" w:color="auto" w:sz="4" w:space="0"/>
              <w:left w:val="single" w:color="auto" w:sz="4" w:space="0"/>
              <w:right w:val="single" w:color="auto" w:sz="4" w:space="0"/>
            </w:tcBorders>
            <w:shd w:val="clear" w:color="auto" w:fill="auto"/>
            <w:vAlign w:val="center"/>
          </w:tcPr>
          <w:p w14:paraId="53D761F1">
            <w:pPr>
              <w:jc w:val="center"/>
              <w:rPr>
                <w:color w:val="000000"/>
                <w:sz w:val="18"/>
                <w:szCs w:val="18"/>
              </w:rPr>
            </w:pPr>
            <w:bookmarkStart w:id="6" w:name="_Hlk170563772"/>
            <w:r>
              <w:rPr>
                <w:color w:val="000000"/>
                <w:sz w:val="18"/>
                <w:szCs w:val="18"/>
              </w:rPr>
              <w:t>种植季</w:t>
            </w:r>
          </w:p>
        </w:tc>
        <w:tc>
          <w:tcPr>
            <w:tcW w:w="992" w:type="dxa"/>
            <w:tcBorders>
              <w:top w:val="single" w:color="auto" w:sz="4" w:space="0"/>
              <w:left w:val="single" w:color="auto" w:sz="4" w:space="0"/>
              <w:right w:val="single" w:color="auto" w:sz="4" w:space="0"/>
            </w:tcBorders>
            <w:shd w:val="clear" w:color="auto" w:fill="auto"/>
            <w:vAlign w:val="center"/>
          </w:tcPr>
          <w:p w14:paraId="08D53225">
            <w:pPr>
              <w:jc w:val="center"/>
              <w:rPr>
                <w:color w:val="000000"/>
                <w:sz w:val="18"/>
                <w:szCs w:val="18"/>
              </w:rPr>
            </w:pPr>
            <w:r>
              <w:rPr>
                <w:rFonts w:hint="eastAsia"/>
                <w:color w:val="000000"/>
                <w:sz w:val="18"/>
                <w:szCs w:val="18"/>
              </w:rPr>
              <w:t>种植作物</w:t>
            </w:r>
          </w:p>
        </w:tc>
        <w:tc>
          <w:tcPr>
            <w:tcW w:w="1048" w:type="dxa"/>
            <w:vMerge w:val="restart"/>
            <w:tcBorders>
              <w:top w:val="single" w:color="auto" w:sz="4" w:space="0"/>
              <w:left w:val="single" w:color="auto" w:sz="4" w:space="0"/>
              <w:right w:val="single" w:color="auto" w:sz="4" w:space="0"/>
            </w:tcBorders>
            <w:shd w:val="clear" w:color="auto" w:fill="auto"/>
            <w:vAlign w:val="center"/>
          </w:tcPr>
          <w:p w14:paraId="75F175E0">
            <w:pPr>
              <w:jc w:val="center"/>
              <w:rPr>
                <w:color w:val="000000"/>
                <w:sz w:val="18"/>
                <w:szCs w:val="18"/>
              </w:rPr>
            </w:pPr>
            <w:r>
              <w:rPr>
                <w:rFonts w:hint="eastAsia"/>
                <w:color w:val="000000"/>
                <w:sz w:val="18"/>
                <w:szCs w:val="18"/>
              </w:rPr>
              <w:t>时期</w:t>
            </w:r>
          </w:p>
        </w:tc>
        <w:tc>
          <w:tcPr>
            <w:tcW w:w="1012" w:type="dxa"/>
            <w:vMerge w:val="restart"/>
            <w:tcBorders>
              <w:top w:val="single" w:color="auto" w:sz="4" w:space="0"/>
              <w:left w:val="single" w:color="auto" w:sz="4" w:space="0"/>
              <w:right w:val="single" w:color="auto" w:sz="4" w:space="0"/>
            </w:tcBorders>
            <w:shd w:val="clear" w:color="auto" w:fill="auto"/>
            <w:vAlign w:val="center"/>
          </w:tcPr>
          <w:p w14:paraId="4B441AAB">
            <w:pPr>
              <w:jc w:val="center"/>
              <w:rPr>
                <w:color w:val="000000"/>
                <w:sz w:val="18"/>
                <w:szCs w:val="18"/>
              </w:rPr>
            </w:pPr>
            <w:r>
              <w:rPr>
                <w:rFonts w:hint="eastAsia"/>
                <w:color w:val="000000"/>
                <w:sz w:val="18"/>
                <w:szCs w:val="18"/>
              </w:rPr>
              <w:t>灌溉下限</w:t>
            </w:r>
          </w:p>
        </w:tc>
        <w:tc>
          <w:tcPr>
            <w:tcW w:w="1068" w:type="dxa"/>
            <w:vMerge w:val="restart"/>
            <w:tcBorders>
              <w:top w:val="single" w:color="auto" w:sz="4" w:space="0"/>
              <w:left w:val="single" w:color="auto" w:sz="4" w:space="0"/>
              <w:right w:val="single" w:color="auto" w:sz="4" w:space="0"/>
            </w:tcBorders>
            <w:shd w:val="clear" w:color="auto" w:fill="auto"/>
            <w:vAlign w:val="center"/>
          </w:tcPr>
          <w:p w14:paraId="0EBFFB8C">
            <w:pPr>
              <w:jc w:val="center"/>
              <w:rPr>
                <w:color w:val="000000"/>
                <w:sz w:val="18"/>
                <w:szCs w:val="18"/>
              </w:rPr>
            </w:pPr>
            <w:r>
              <w:rPr>
                <w:rFonts w:hint="eastAsia"/>
                <w:color w:val="000000"/>
                <w:sz w:val="18"/>
                <w:szCs w:val="18"/>
              </w:rPr>
              <w:t>灌溉上限范围</w:t>
            </w:r>
          </w:p>
        </w:tc>
        <w:tc>
          <w:tcPr>
            <w:tcW w:w="1031" w:type="dxa"/>
            <w:vMerge w:val="restart"/>
            <w:tcBorders>
              <w:top w:val="single" w:color="auto" w:sz="4" w:space="0"/>
              <w:left w:val="single" w:color="auto" w:sz="4" w:space="0"/>
              <w:right w:val="single" w:color="auto" w:sz="4" w:space="0"/>
            </w:tcBorders>
            <w:shd w:val="clear" w:color="auto" w:fill="auto"/>
            <w:vAlign w:val="center"/>
          </w:tcPr>
          <w:p w14:paraId="7621F323">
            <w:pPr>
              <w:jc w:val="center"/>
              <w:rPr>
                <w:color w:val="000000"/>
                <w:sz w:val="18"/>
                <w:szCs w:val="18"/>
              </w:rPr>
            </w:pPr>
            <w:r>
              <w:rPr>
                <w:rFonts w:hint="eastAsia"/>
                <w:color w:val="000000"/>
                <w:sz w:val="18"/>
                <w:szCs w:val="18"/>
              </w:rPr>
              <w:t xml:space="preserve">单次灌溉水量 </w:t>
            </w:r>
            <w:r>
              <w:rPr>
                <w:color w:val="000000"/>
                <w:sz w:val="18"/>
                <w:szCs w:val="18"/>
              </w:rPr>
              <w:t>m</w:t>
            </w:r>
            <w:r>
              <w:rPr>
                <w:color w:val="000000"/>
                <w:sz w:val="18"/>
                <w:szCs w:val="18"/>
                <w:vertAlign w:val="superscript"/>
              </w:rPr>
              <w:t>3</w:t>
            </w:r>
            <w:r>
              <w:rPr>
                <w:color w:val="000000"/>
                <w:sz w:val="18"/>
                <w:szCs w:val="18"/>
              </w:rPr>
              <w:t>·667m</w:t>
            </w:r>
            <w:r>
              <w:rPr>
                <w:rFonts w:hint="eastAsia"/>
                <w:color w:val="000000"/>
                <w:sz w:val="18"/>
                <w:szCs w:val="18"/>
                <w:vertAlign w:val="superscript"/>
              </w:rPr>
              <w:t>-</w:t>
            </w:r>
            <w:r>
              <w:rPr>
                <w:color w:val="000000"/>
                <w:sz w:val="18"/>
                <w:szCs w:val="18"/>
                <w:vertAlign w:val="superscript"/>
              </w:rPr>
              <w:t>2</w:t>
            </w:r>
          </w:p>
        </w:tc>
        <w:tc>
          <w:tcPr>
            <w:tcW w:w="283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F797849">
            <w:pPr>
              <w:jc w:val="center"/>
              <w:rPr>
                <w:color w:val="000000"/>
                <w:sz w:val="18"/>
                <w:szCs w:val="18"/>
              </w:rPr>
            </w:pPr>
            <w:r>
              <w:rPr>
                <w:rFonts w:hint="eastAsia"/>
                <w:color w:val="000000"/>
                <w:sz w:val="18"/>
                <w:szCs w:val="18"/>
              </w:rPr>
              <w:t>灌溉间隔</w:t>
            </w:r>
          </w:p>
          <w:p w14:paraId="420831A8">
            <w:pPr>
              <w:jc w:val="center"/>
              <w:rPr>
                <w:color w:val="000000"/>
                <w:sz w:val="18"/>
                <w:szCs w:val="18"/>
              </w:rPr>
            </w:pPr>
            <w:r>
              <w:rPr>
                <w:rFonts w:hint="eastAsia"/>
                <w:color w:val="000000"/>
                <w:sz w:val="18"/>
                <w:szCs w:val="18"/>
              </w:rPr>
              <w:t>时长（</w:t>
            </w:r>
            <w:r>
              <w:rPr>
                <w:color w:val="000000"/>
                <w:sz w:val="18"/>
                <w:szCs w:val="18"/>
              </w:rPr>
              <w:t>d</w:t>
            </w:r>
            <w:r>
              <w:rPr>
                <w:rFonts w:hint="eastAsia"/>
                <w:color w:val="000000"/>
                <w:sz w:val="18"/>
                <w:szCs w:val="18"/>
              </w:rPr>
              <w:t>）</w:t>
            </w:r>
          </w:p>
        </w:tc>
      </w:tr>
      <w:tr w14:paraId="653D3D6D">
        <w:tblPrEx>
          <w:tblCellMar>
            <w:top w:w="0" w:type="dxa"/>
            <w:left w:w="108" w:type="dxa"/>
            <w:bottom w:w="0" w:type="dxa"/>
            <w:right w:w="108" w:type="dxa"/>
          </w:tblCellMar>
        </w:tblPrEx>
        <w:trPr>
          <w:trHeight w:val="345" w:hRule="atLeast"/>
          <w:jc w:val="center"/>
        </w:trPr>
        <w:tc>
          <w:tcPr>
            <w:tcW w:w="534" w:type="dxa"/>
            <w:vMerge w:val="continue"/>
            <w:tcBorders>
              <w:left w:val="single" w:color="auto" w:sz="4" w:space="0"/>
              <w:bottom w:val="single" w:color="auto" w:sz="4" w:space="0"/>
              <w:right w:val="single" w:color="auto" w:sz="4" w:space="0"/>
            </w:tcBorders>
            <w:shd w:val="clear" w:color="auto" w:fill="auto"/>
            <w:vAlign w:val="center"/>
          </w:tcPr>
          <w:p w14:paraId="0EE2D62E">
            <w:pPr>
              <w:jc w:val="center"/>
              <w:rPr>
                <w:color w:val="000000"/>
                <w:sz w:val="18"/>
                <w:szCs w:val="18"/>
              </w:rPr>
            </w:pPr>
          </w:p>
        </w:tc>
        <w:tc>
          <w:tcPr>
            <w:tcW w:w="992" w:type="dxa"/>
            <w:tcBorders>
              <w:left w:val="single" w:color="auto" w:sz="4" w:space="0"/>
              <w:bottom w:val="single" w:color="auto" w:sz="4" w:space="0"/>
              <w:right w:val="single" w:color="auto" w:sz="4" w:space="0"/>
            </w:tcBorders>
            <w:shd w:val="clear" w:color="auto" w:fill="auto"/>
            <w:vAlign w:val="center"/>
          </w:tcPr>
          <w:p w14:paraId="2F3F639A">
            <w:pPr>
              <w:rPr>
                <w:color w:val="000000"/>
                <w:sz w:val="18"/>
                <w:szCs w:val="18"/>
              </w:rPr>
            </w:pPr>
          </w:p>
        </w:tc>
        <w:tc>
          <w:tcPr>
            <w:tcW w:w="1048" w:type="dxa"/>
            <w:vMerge w:val="continue"/>
            <w:tcBorders>
              <w:left w:val="single" w:color="auto" w:sz="4" w:space="0"/>
              <w:bottom w:val="single" w:color="auto" w:sz="4" w:space="0"/>
              <w:right w:val="single" w:color="auto" w:sz="4" w:space="0"/>
            </w:tcBorders>
            <w:shd w:val="clear" w:color="auto" w:fill="auto"/>
            <w:vAlign w:val="center"/>
          </w:tcPr>
          <w:p w14:paraId="2DDCC9F6">
            <w:pPr>
              <w:jc w:val="center"/>
              <w:rPr>
                <w:color w:val="000000"/>
                <w:sz w:val="18"/>
                <w:szCs w:val="18"/>
              </w:rPr>
            </w:pPr>
          </w:p>
        </w:tc>
        <w:tc>
          <w:tcPr>
            <w:tcW w:w="1012" w:type="dxa"/>
            <w:vMerge w:val="continue"/>
            <w:tcBorders>
              <w:left w:val="single" w:color="auto" w:sz="4" w:space="0"/>
              <w:bottom w:val="single" w:color="auto" w:sz="4" w:space="0"/>
              <w:right w:val="single" w:color="auto" w:sz="4" w:space="0"/>
            </w:tcBorders>
            <w:shd w:val="clear" w:color="auto" w:fill="auto"/>
            <w:vAlign w:val="center"/>
          </w:tcPr>
          <w:p w14:paraId="0A3CB2FE">
            <w:pPr>
              <w:jc w:val="center"/>
              <w:rPr>
                <w:color w:val="000000"/>
                <w:sz w:val="18"/>
                <w:szCs w:val="18"/>
              </w:rPr>
            </w:pPr>
          </w:p>
        </w:tc>
        <w:tc>
          <w:tcPr>
            <w:tcW w:w="1068" w:type="dxa"/>
            <w:vMerge w:val="continue"/>
            <w:tcBorders>
              <w:left w:val="single" w:color="auto" w:sz="4" w:space="0"/>
              <w:bottom w:val="single" w:color="auto" w:sz="4" w:space="0"/>
              <w:right w:val="single" w:color="auto" w:sz="4" w:space="0"/>
            </w:tcBorders>
            <w:shd w:val="clear" w:color="auto" w:fill="auto"/>
            <w:vAlign w:val="center"/>
          </w:tcPr>
          <w:p w14:paraId="55AB7ED5">
            <w:pPr>
              <w:jc w:val="center"/>
              <w:rPr>
                <w:color w:val="000000"/>
                <w:sz w:val="18"/>
                <w:szCs w:val="18"/>
              </w:rPr>
            </w:pPr>
          </w:p>
        </w:tc>
        <w:tc>
          <w:tcPr>
            <w:tcW w:w="1031" w:type="dxa"/>
            <w:vMerge w:val="continue"/>
            <w:tcBorders>
              <w:left w:val="single" w:color="auto" w:sz="4" w:space="0"/>
              <w:bottom w:val="single" w:color="auto" w:sz="4" w:space="0"/>
              <w:right w:val="single" w:color="auto" w:sz="4" w:space="0"/>
            </w:tcBorders>
            <w:shd w:val="clear" w:color="auto" w:fill="auto"/>
            <w:vAlign w:val="center"/>
          </w:tcPr>
          <w:p w14:paraId="2F2D92F0">
            <w:pPr>
              <w:jc w:val="center"/>
              <w:rPr>
                <w:color w:val="000000"/>
                <w:sz w:val="18"/>
                <w:szCs w:val="18"/>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26AC7B3">
            <w:pPr>
              <w:jc w:val="center"/>
              <w:rPr>
                <w:color w:val="000000"/>
                <w:sz w:val="18"/>
                <w:szCs w:val="18"/>
              </w:rPr>
            </w:pPr>
            <w:r>
              <w:rPr>
                <w:rFonts w:hint="eastAsia"/>
                <w:color w:val="000000"/>
                <w:sz w:val="18"/>
                <w:szCs w:val="18"/>
              </w:rPr>
              <w:t>砂壤土</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557BCE94">
            <w:pPr>
              <w:jc w:val="center"/>
              <w:rPr>
                <w:color w:val="000000"/>
                <w:sz w:val="18"/>
                <w:szCs w:val="18"/>
              </w:rPr>
            </w:pPr>
            <w:r>
              <w:rPr>
                <w:rFonts w:hint="eastAsia"/>
                <w:color w:val="000000"/>
                <w:sz w:val="18"/>
                <w:szCs w:val="18"/>
              </w:rPr>
              <w:t>壤土</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09B0F896">
            <w:pPr>
              <w:jc w:val="center"/>
              <w:rPr>
                <w:color w:val="000000"/>
                <w:sz w:val="18"/>
                <w:szCs w:val="18"/>
              </w:rPr>
            </w:pPr>
            <w:r>
              <w:rPr>
                <w:rFonts w:hint="eastAsia"/>
                <w:color w:val="000000"/>
                <w:sz w:val="18"/>
                <w:szCs w:val="18"/>
              </w:rPr>
              <w:t>黏土</w:t>
            </w:r>
          </w:p>
        </w:tc>
      </w:tr>
      <w:tr w14:paraId="6B10BEA6">
        <w:tblPrEx>
          <w:tblCellMar>
            <w:top w:w="0" w:type="dxa"/>
            <w:left w:w="108" w:type="dxa"/>
            <w:bottom w:w="0" w:type="dxa"/>
            <w:right w:w="108" w:type="dxa"/>
          </w:tblCellMar>
        </w:tblPrEx>
        <w:trPr>
          <w:trHeight w:val="563" w:hRule="atLeast"/>
          <w:jc w:val="center"/>
        </w:trPr>
        <w:tc>
          <w:tcPr>
            <w:tcW w:w="534" w:type="dxa"/>
            <w:vMerge w:val="restart"/>
            <w:tcBorders>
              <w:top w:val="single" w:color="auto" w:sz="4" w:space="0"/>
              <w:left w:val="single" w:color="auto" w:sz="4" w:space="0"/>
              <w:right w:val="single" w:color="auto" w:sz="4" w:space="0"/>
            </w:tcBorders>
            <w:shd w:val="clear" w:color="auto" w:fill="auto"/>
            <w:vAlign w:val="center"/>
          </w:tcPr>
          <w:p w14:paraId="796A5B81">
            <w:pPr>
              <w:jc w:val="center"/>
              <w:rPr>
                <w:color w:val="000000"/>
                <w:sz w:val="18"/>
                <w:szCs w:val="18"/>
              </w:rPr>
            </w:pPr>
            <w:r>
              <w:rPr>
                <w:rFonts w:hint="eastAsia"/>
                <w:color w:val="000000"/>
                <w:sz w:val="18"/>
                <w:szCs w:val="18"/>
              </w:rPr>
              <w:t>早稻季</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0456D10">
            <w:pPr>
              <w:jc w:val="center"/>
              <w:rPr>
                <w:color w:val="000000"/>
                <w:sz w:val="18"/>
                <w:szCs w:val="18"/>
              </w:rPr>
            </w:pPr>
            <w:r>
              <w:rPr>
                <w:rFonts w:hint="eastAsia"/>
                <w:color w:val="000000"/>
                <w:sz w:val="18"/>
                <w:szCs w:val="18"/>
              </w:rPr>
              <w:t>移栽稻/湿直播稻</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0275A268">
            <w:pPr>
              <w:jc w:val="center"/>
              <w:rPr>
                <w:color w:val="000000"/>
                <w:sz w:val="18"/>
                <w:szCs w:val="18"/>
              </w:rPr>
            </w:pPr>
            <w:r>
              <w:rPr>
                <w:rFonts w:hint="eastAsia"/>
                <w:color w:val="000000"/>
                <w:sz w:val="18"/>
                <w:szCs w:val="18"/>
              </w:rPr>
              <w:t>泡田期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75E42DF8">
            <w:pPr>
              <w:jc w:val="center"/>
              <w:rPr>
                <w:color w:val="000000"/>
                <w:sz w:val="18"/>
                <w:szCs w:val="18"/>
              </w:rPr>
            </w:pPr>
            <w:r>
              <w:rPr>
                <w:rFonts w:hint="eastAsia"/>
                <w:color w:val="000000"/>
                <w:sz w:val="18"/>
                <w:szCs w:val="18"/>
              </w:rPr>
              <w:t>田面水层</w:t>
            </w:r>
          </w:p>
          <w:p w14:paraId="4DC48887">
            <w:pPr>
              <w:jc w:val="center"/>
              <w:rPr>
                <w:color w:val="000000"/>
                <w:sz w:val="18"/>
                <w:szCs w:val="18"/>
              </w:rPr>
            </w:pPr>
            <w:r>
              <w:rPr>
                <w:rFonts w:hint="eastAsia"/>
                <w:color w:val="000000"/>
                <w:sz w:val="18"/>
                <w:szCs w:val="18"/>
              </w:rPr>
              <w:t>10</w:t>
            </w:r>
            <w:r>
              <w:rPr>
                <w:color w:val="000000"/>
                <w:sz w:val="18"/>
                <w:szCs w:val="18"/>
              </w:rPr>
              <w:t xml:space="preserve"> mm</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07B6905E">
            <w:pPr>
              <w:jc w:val="center"/>
              <w:rPr>
                <w:color w:val="000000"/>
                <w:sz w:val="18"/>
                <w:szCs w:val="18"/>
              </w:rPr>
            </w:pPr>
            <w:r>
              <w:rPr>
                <w:rFonts w:hint="eastAsia"/>
                <w:color w:val="000000"/>
                <w:sz w:val="18"/>
                <w:szCs w:val="18"/>
              </w:rPr>
              <w:t>田面水层</w:t>
            </w:r>
          </w:p>
          <w:p w14:paraId="01CD1A27">
            <w:pPr>
              <w:jc w:val="center"/>
              <w:rPr>
                <w:color w:val="000000"/>
                <w:sz w:val="18"/>
                <w:szCs w:val="18"/>
              </w:rPr>
            </w:pPr>
            <w:r>
              <w:rPr>
                <w:rFonts w:hint="eastAsia"/>
                <w:color w:val="000000"/>
                <w:sz w:val="18"/>
                <w:szCs w:val="18"/>
              </w:rPr>
              <w:t>30</w:t>
            </w:r>
            <w:r>
              <w:rPr>
                <w:color w:val="000000"/>
                <w:sz w:val="18"/>
                <w:szCs w:val="18"/>
              </w:rPr>
              <w:t xml:space="preserve">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3470FFE5">
            <w:pPr>
              <w:jc w:val="center"/>
              <w:rPr>
                <w:color w:val="000000"/>
                <w:sz w:val="18"/>
                <w:szCs w:val="18"/>
              </w:rPr>
            </w:pPr>
            <w:r>
              <w:rPr>
                <w:rFonts w:hint="eastAsia"/>
                <w:color w:val="000000"/>
                <w:sz w:val="18"/>
                <w:szCs w:val="18"/>
              </w:rPr>
              <w:t>13</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E15B0BC">
            <w:pPr>
              <w:jc w:val="center"/>
              <w:rPr>
                <w:color w:val="000000"/>
                <w:sz w:val="18"/>
                <w:szCs w:val="18"/>
              </w:rPr>
            </w:pPr>
            <w:r>
              <w:rPr>
                <w:color w:val="000000"/>
                <w:sz w:val="18"/>
                <w:szCs w:val="18"/>
              </w:rPr>
              <w:t>3</w:t>
            </w:r>
            <w:r>
              <w:rPr>
                <w:rFonts w:hint="eastAsia"/>
                <w:color w:val="000000"/>
                <w:kern w:val="0"/>
                <w:sz w:val="18"/>
                <w:szCs w:val="18"/>
              </w:rPr>
              <w:t>～</w:t>
            </w:r>
            <w:r>
              <w:rPr>
                <w:rFonts w:hint="eastAsia"/>
                <w:color w:val="000000"/>
                <w:sz w:val="18"/>
                <w:szCs w:val="18"/>
              </w:rPr>
              <w:t>5</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512A0426">
            <w:pPr>
              <w:jc w:val="center"/>
              <w:rPr>
                <w:color w:val="000000"/>
                <w:sz w:val="18"/>
                <w:szCs w:val="18"/>
              </w:rPr>
            </w:pPr>
            <w:r>
              <w:rPr>
                <w:color w:val="000000"/>
                <w:sz w:val="18"/>
                <w:szCs w:val="18"/>
              </w:rPr>
              <w:t>3</w:t>
            </w:r>
            <w:r>
              <w:rPr>
                <w:rFonts w:hint="eastAsia"/>
                <w:color w:val="000000"/>
                <w:kern w:val="0"/>
                <w:sz w:val="18"/>
                <w:szCs w:val="18"/>
              </w:rPr>
              <w:t>～</w:t>
            </w:r>
            <w:r>
              <w:rPr>
                <w:rFonts w:hint="eastAsia"/>
                <w:color w:val="000000"/>
                <w:sz w:val="18"/>
                <w:szCs w:val="18"/>
              </w:rPr>
              <w:t>5</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53EDF65A">
            <w:pPr>
              <w:jc w:val="center"/>
              <w:rPr>
                <w:color w:val="000000"/>
                <w:sz w:val="18"/>
                <w:szCs w:val="18"/>
              </w:rPr>
            </w:pPr>
            <w:r>
              <w:rPr>
                <w:color w:val="000000"/>
                <w:sz w:val="18"/>
                <w:szCs w:val="18"/>
              </w:rPr>
              <w:t>3</w:t>
            </w:r>
            <w:r>
              <w:rPr>
                <w:rFonts w:hint="eastAsia"/>
                <w:color w:val="000000"/>
                <w:kern w:val="0"/>
                <w:sz w:val="18"/>
                <w:szCs w:val="18"/>
              </w:rPr>
              <w:t>～</w:t>
            </w:r>
            <w:r>
              <w:rPr>
                <w:rFonts w:hint="eastAsia"/>
                <w:color w:val="000000"/>
                <w:sz w:val="18"/>
                <w:szCs w:val="18"/>
              </w:rPr>
              <w:t>5</w:t>
            </w:r>
          </w:p>
        </w:tc>
      </w:tr>
      <w:tr w14:paraId="3B45DD4F">
        <w:tblPrEx>
          <w:tblCellMar>
            <w:top w:w="0" w:type="dxa"/>
            <w:left w:w="108" w:type="dxa"/>
            <w:bottom w:w="0" w:type="dxa"/>
            <w:right w:w="108" w:type="dxa"/>
          </w:tblCellMar>
        </w:tblPrEx>
        <w:trPr>
          <w:trHeight w:val="563" w:hRule="atLeast"/>
          <w:jc w:val="center"/>
        </w:trPr>
        <w:tc>
          <w:tcPr>
            <w:tcW w:w="534" w:type="dxa"/>
            <w:vMerge w:val="continue"/>
            <w:tcBorders>
              <w:left w:val="single" w:color="auto" w:sz="4" w:space="0"/>
              <w:right w:val="single" w:color="auto" w:sz="4" w:space="0"/>
            </w:tcBorders>
            <w:shd w:val="clear" w:color="auto" w:fill="auto"/>
            <w:vAlign w:val="center"/>
          </w:tcPr>
          <w:p w14:paraId="7C6ECBFB">
            <w:pPr>
              <w:jc w:val="center"/>
              <w:rPr>
                <w:color w:val="000000"/>
                <w:sz w:val="18"/>
                <w:szCs w:val="18"/>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19448C1">
            <w:pPr>
              <w:jc w:val="center"/>
              <w:rPr>
                <w:color w:val="000000"/>
                <w:sz w:val="18"/>
                <w:szCs w:val="18"/>
              </w:rPr>
            </w:pPr>
            <w:r>
              <w:rPr>
                <w:rFonts w:hint="eastAsia"/>
                <w:color w:val="000000"/>
                <w:sz w:val="18"/>
                <w:szCs w:val="18"/>
              </w:rPr>
              <w:t>移栽稻</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70B7F598">
            <w:pPr>
              <w:jc w:val="center"/>
              <w:rPr>
                <w:color w:val="000000"/>
                <w:sz w:val="18"/>
                <w:szCs w:val="18"/>
              </w:rPr>
            </w:pPr>
            <w:r>
              <w:rPr>
                <w:rFonts w:hint="eastAsia"/>
                <w:color w:val="000000"/>
                <w:sz w:val="18"/>
                <w:szCs w:val="18"/>
              </w:rPr>
              <w:t>返青期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5C55AE1F">
            <w:pPr>
              <w:jc w:val="center"/>
              <w:rPr>
                <w:color w:val="000000"/>
                <w:sz w:val="18"/>
                <w:szCs w:val="18"/>
              </w:rPr>
            </w:pPr>
            <w:r>
              <w:rPr>
                <w:rFonts w:hint="eastAsia"/>
                <w:color w:val="000000"/>
                <w:sz w:val="18"/>
                <w:szCs w:val="18"/>
              </w:rPr>
              <w:t>田面水层</w:t>
            </w:r>
          </w:p>
          <w:p w14:paraId="5E05B64C">
            <w:pPr>
              <w:jc w:val="center"/>
              <w:rPr>
                <w:color w:val="000000"/>
                <w:sz w:val="18"/>
                <w:szCs w:val="18"/>
              </w:rPr>
            </w:pPr>
            <w:r>
              <w:rPr>
                <w:color w:val="000000"/>
                <w:sz w:val="18"/>
                <w:szCs w:val="18"/>
              </w:rPr>
              <w:t>5 mm</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1C2F760D">
            <w:pPr>
              <w:jc w:val="center"/>
              <w:rPr>
                <w:color w:val="000000"/>
                <w:sz w:val="18"/>
                <w:szCs w:val="18"/>
              </w:rPr>
            </w:pPr>
            <w:r>
              <w:rPr>
                <w:rFonts w:hint="eastAsia"/>
                <w:color w:val="000000"/>
                <w:sz w:val="18"/>
                <w:szCs w:val="18"/>
              </w:rPr>
              <w:t>田面水层</w:t>
            </w:r>
          </w:p>
          <w:p w14:paraId="63D08E89">
            <w:pPr>
              <w:jc w:val="center"/>
              <w:rPr>
                <w:color w:val="000000"/>
                <w:sz w:val="18"/>
                <w:szCs w:val="18"/>
              </w:rPr>
            </w:pPr>
            <w:r>
              <w:rPr>
                <w:color w:val="000000"/>
                <w:sz w:val="18"/>
                <w:szCs w:val="18"/>
              </w:rPr>
              <w:t>20</w:t>
            </w:r>
            <w:r>
              <w:rPr>
                <w:rFonts w:hint="eastAsia"/>
                <w:color w:val="000000"/>
                <w:kern w:val="0"/>
                <w:sz w:val="18"/>
                <w:szCs w:val="18"/>
              </w:rPr>
              <w:t>～</w:t>
            </w:r>
            <w:r>
              <w:rPr>
                <w:color w:val="000000"/>
                <w:sz w:val="18"/>
                <w:szCs w:val="18"/>
              </w:rPr>
              <w:t>40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52F9185A">
            <w:pPr>
              <w:jc w:val="center"/>
              <w:rPr>
                <w:color w:val="000000"/>
                <w:sz w:val="18"/>
                <w:szCs w:val="18"/>
              </w:rPr>
            </w:pPr>
            <w:r>
              <w:rPr>
                <w:color w:val="000000"/>
                <w:sz w:val="18"/>
                <w:szCs w:val="18"/>
              </w:rPr>
              <w:t>10</w:t>
            </w:r>
            <w:r>
              <w:rPr>
                <w:rFonts w:hint="eastAsia"/>
                <w:color w:val="000000"/>
                <w:kern w:val="0"/>
                <w:sz w:val="18"/>
                <w:szCs w:val="18"/>
              </w:rPr>
              <w:t>～</w:t>
            </w:r>
            <w:r>
              <w:rPr>
                <w:rFonts w:hint="eastAsia"/>
                <w:color w:val="000000"/>
                <w:sz w:val="18"/>
                <w:szCs w:val="18"/>
              </w:rPr>
              <w:t>2</w:t>
            </w:r>
            <w:r>
              <w:rPr>
                <w:color w:val="000000"/>
                <w:sz w:val="18"/>
                <w:szCs w:val="18"/>
              </w:rPr>
              <w:t>3</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392814D4">
            <w:pPr>
              <w:jc w:val="center"/>
              <w:rPr>
                <w:color w:val="000000"/>
                <w:sz w:val="18"/>
                <w:szCs w:val="18"/>
              </w:rPr>
            </w:pPr>
            <w:r>
              <w:rPr>
                <w:rFonts w:hint="eastAsia"/>
                <w:color w:val="000000"/>
                <w:sz w:val="18"/>
                <w:szCs w:val="18"/>
              </w:rPr>
              <w:t>3</w:t>
            </w:r>
            <w:r>
              <w:rPr>
                <w:rFonts w:hint="eastAsia"/>
                <w:color w:val="000000"/>
                <w:kern w:val="0"/>
                <w:sz w:val="18"/>
                <w:szCs w:val="18"/>
              </w:rPr>
              <w:t>～</w:t>
            </w:r>
            <w:r>
              <w:rPr>
                <w:rFonts w:hint="eastAsia"/>
                <w:color w:val="000000"/>
                <w:sz w:val="18"/>
                <w:szCs w:val="18"/>
              </w:rPr>
              <w:t>4</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51B3E494">
            <w:pPr>
              <w:jc w:val="center"/>
              <w:rPr>
                <w:color w:val="000000"/>
                <w:sz w:val="18"/>
                <w:szCs w:val="18"/>
              </w:rPr>
            </w:pPr>
            <w:r>
              <w:rPr>
                <w:rFonts w:hint="eastAsia"/>
                <w:color w:val="000000"/>
                <w:sz w:val="18"/>
                <w:szCs w:val="18"/>
              </w:rPr>
              <w:t>3</w:t>
            </w:r>
            <w:r>
              <w:rPr>
                <w:rFonts w:hint="eastAsia"/>
                <w:color w:val="000000"/>
                <w:kern w:val="0"/>
                <w:sz w:val="18"/>
                <w:szCs w:val="18"/>
              </w:rPr>
              <w:t>～</w:t>
            </w:r>
            <w:r>
              <w:rPr>
                <w:rFonts w:hint="eastAsia"/>
                <w:color w:val="000000"/>
                <w:sz w:val="18"/>
                <w:szCs w:val="18"/>
              </w:rPr>
              <w:t>5</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7D54DA41">
            <w:pPr>
              <w:jc w:val="center"/>
              <w:rPr>
                <w:color w:val="000000"/>
                <w:sz w:val="18"/>
                <w:szCs w:val="18"/>
              </w:rPr>
            </w:pPr>
            <w:r>
              <w:rPr>
                <w:rFonts w:hint="eastAsia"/>
                <w:color w:val="000000"/>
                <w:sz w:val="18"/>
                <w:szCs w:val="18"/>
              </w:rPr>
              <w:t>4</w:t>
            </w:r>
            <w:r>
              <w:rPr>
                <w:rFonts w:hint="eastAsia"/>
                <w:color w:val="000000"/>
                <w:kern w:val="0"/>
                <w:sz w:val="18"/>
                <w:szCs w:val="18"/>
              </w:rPr>
              <w:t>～</w:t>
            </w:r>
            <w:r>
              <w:rPr>
                <w:rFonts w:hint="eastAsia"/>
                <w:color w:val="000000"/>
                <w:sz w:val="18"/>
                <w:szCs w:val="18"/>
              </w:rPr>
              <w:t>6</w:t>
            </w:r>
          </w:p>
        </w:tc>
      </w:tr>
      <w:tr w14:paraId="21659976">
        <w:tblPrEx>
          <w:tblCellMar>
            <w:top w:w="0" w:type="dxa"/>
            <w:left w:w="108" w:type="dxa"/>
            <w:bottom w:w="0" w:type="dxa"/>
            <w:right w:w="108" w:type="dxa"/>
          </w:tblCellMar>
        </w:tblPrEx>
        <w:trPr>
          <w:trHeight w:val="704" w:hRule="atLeast"/>
          <w:jc w:val="center"/>
        </w:trPr>
        <w:tc>
          <w:tcPr>
            <w:tcW w:w="534" w:type="dxa"/>
            <w:vMerge w:val="continue"/>
            <w:tcBorders>
              <w:left w:val="single" w:color="auto" w:sz="4" w:space="0"/>
              <w:right w:val="single" w:color="auto" w:sz="4" w:space="0"/>
            </w:tcBorders>
            <w:shd w:val="clear" w:color="auto" w:fill="auto"/>
            <w:vAlign w:val="center"/>
          </w:tcPr>
          <w:p w14:paraId="0247F68C">
            <w:pPr>
              <w:jc w:val="center"/>
              <w:rPr>
                <w:color w:val="000000"/>
                <w:sz w:val="18"/>
                <w:szCs w:val="18"/>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DC9F9FB">
            <w:pPr>
              <w:jc w:val="center"/>
              <w:rPr>
                <w:color w:val="000000"/>
                <w:sz w:val="18"/>
                <w:szCs w:val="18"/>
              </w:rPr>
            </w:pPr>
            <w:r>
              <w:rPr>
                <w:rFonts w:hint="eastAsia"/>
                <w:color w:val="000000"/>
                <w:sz w:val="18"/>
                <w:szCs w:val="18"/>
              </w:rPr>
              <w:t>湿/旱直播稻</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6887D099">
            <w:pPr>
              <w:jc w:val="center"/>
              <w:rPr>
                <w:color w:val="000000"/>
                <w:sz w:val="18"/>
                <w:szCs w:val="18"/>
              </w:rPr>
            </w:pPr>
            <w:r>
              <w:rPr>
                <w:rFonts w:hint="eastAsia"/>
                <w:color w:val="000000"/>
                <w:sz w:val="18"/>
                <w:szCs w:val="18"/>
              </w:rPr>
              <w:t>播种至三叶期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3D5A7A30">
            <w:pPr>
              <w:jc w:val="center"/>
              <w:rPr>
                <w:color w:val="000000"/>
                <w:kern w:val="0"/>
                <w:sz w:val="18"/>
                <w:szCs w:val="18"/>
              </w:rPr>
            </w:pPr>
            <w:bookmarkStart w:id="7" w:name="OLE_LINK58"/>
            <w:bookmarkStart w:id="8" w:name="OLE_LINK57"/>
            <w:r>
              <w:rPr>
                <w:rFonts w:hint="eastAsia"/>
                <w:color w:val="000000"/>
                <w:kern w:val="0"/>
                <w:sz w:val="18"/>
                <w:szCs w:val="18"/>
              </w:rPr>
              <w:t>表土微干</w:t>
            </w:r>
            <w:bookmarkEnd w:id="7"/>
            <w:bookmarkEnd w:id="8"/>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530E5FE6">
            <w:pPr>
              <w:jc w:val="center"/>
              <w:rPr>
                <w:color w:val="000000"/>
                <w:sz w:val="18"/>
                <w:szCs w:val="18"/>
              </w:rPr>
            </w:pPr>
            <w:bookmarkStart w:id="9" w:name="OLE_LINK61"/>
            <w:bookmarkStart w:id="10" w:name="OLE_LINK62"/>
            <w:r>
              <w:rPr>
                <w:rFonts w:hint="eastAsia"/>
                <w:color w:val="000000"/>
                <w:sz w:val="18"/>
                <w:szCs w:val="18"/>
              </w:rPr>
              <w:t>田面无水层</w:t>
            </w:r>
            <w:bookmarkEnd w:id="9"/>
            <w:bookmarkEnd w:id="10"/>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6981D9F0">
            <w:pPr>
              <w:jc w:val="center"/>
              <w:rPr>
                <w:color w:val="000000"/>
                <w:sz w:val="18"/>
                <w:szCs w:val="18"/>
              </w:rPr>
            </w:pPr>
            <w:r>
              <w:rPr>
                <w:rFonts w:hint="eastAsia"/>
                <w:color w:val="000000"/>
                <w:sz w:val="18"/>
                <w:szCs w:val="18"/>
              </w:rPr>
              <w:t>8</w:t>
            </w:r>
            <w:r>
              <w:rPr>
                <w:rFonts w:hint="eastAsia"/>
                <w:color w:val="000000"/>
                <w:kern w:val="0"/>
                <w:sz w:val="18"/>
                <w:szCs w:val="18"/>
              </w:rPr>
              <w:t>～</w:t>
            </w:r>
            <w:r>
              <w:rPr>
                <w:rFonts w:hint="eastAsia"/>
                <w:color w:val="000000"/>
                <w:sz w:val="18"/>
                <w:szCs w:val="18"/>
              </w:rPr>
              <w:t>10</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3592AECB">
            <w:pPr>
              <w:jc w:val="center"/>
              <w:rPr>
                <w:color w:val="000000"/>
                <w:sz w:val="18"/>
                <w:szCs w:val="18"/>
              </w:rPr>
            </w:pPr>
            <w:r>
              <w:rPr>
                <w:rFonts w:hint="eastAsia"/>
                <w:color w:val="000000"/>
                <w:sz w:val="18"/>
                <w:szCs w:val="18"/>
              </w:rPr>
              <w:t>3</w:t>
            </w:r>
            <w:r>
              <w:rPr>
                <w:rFonts w:hint="eastAsia"/>
                <w:color w:val="000000"/>
                <w:kern w:val="0"/>
                <w:sz w:val="18"/>
                <w:szCs w:val="18"/>
              </w:rPr>
              <w:t>～</w:t>
            </w:r>
            <w:r>
              <w:rPr>
                <w:rFonts w:hint="eastAsia"/>
                <w:color w:val="000000"/>
                <w:sz w:val="18"/>
                <w:szCs w:val="18"/>
              </w:rPr>
              <w:t>4</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57487D15">
            <w:pPr>
              <w:jc w:val="center"/>
              <w:rPr>
                <w:color w:val="000000"/>
                <w:sz w:val="18"/>
                <w:szCs w:val="18"/>
              </w:rPr>
            </w:pPr>
            <w:r>
              <w:rPr>
                <w:rFonts w:hint="eastAsia"/>
                <w:color w:val="000000"/>
                <w:sz w:val="18"/>
                <w:szCs w:val="18"/>
              </w:rPr>
              <w:t>3</w:t>
            </w:r>
            <w:r>
              <w:rPr>
                <w:rFonts w:hint="eastAsia"/>
                <w:color w:val="000000"/>
                <w:kern w:val="0"/>
                <w:sz w:val="18"/>
                <w:szCs w:val="18"/>
              </w:rPr>
              <w:t>～</w:t>
            </w:r>
            <w:r>
              <w:rPr>
                <w:rFonts w:hint="eastAsia"/>
                <w:color w:val="000000"/>
                <w:sz w:val="18"/>
                <w:szCs w:val="18"/>
              </w:rPr>
              <w:t>5</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12F37895">
            <w:pPr>
              <w:jc w:val="center"/>
              <w:rPr>
                <w:color w:val="000000"/>
                <w:sz w:val="18"/>
                <w:szCs w:val="18"/>
              </w:rPr>
            </w:pPr>
            <w:r>
              <w:rPr>
                <w:rFonts w:hint="eastAsia"/>
                <w:color w:val="000000"/>
                <w:sz w:val="18"/>
                <w:szCs w:val="18"/>
              </w:rPr>
              <w:t>4</w:t>
            </w:r>
            <w:r>
              <w:rPr>
                <w:rFonts w:hint="eastAsia"/>
                <w:color w:val="000000"/>
                <w:kern w:val="0"/>
                <w:sz w:val="18"/>
                <w:szCs w:val="18"/>
              </w:rPr>
              <w:t>～</w:t>
            </w:r>
            <w:r>
              <w:rPr>
                <w:rFonts w:hint="eastAsia"/>
                <w:color w:val="000000"/>
                <w:sz w:val="18"/>
                <w:szCs w:val="18"/>
              </w:rPr>
              <w:t>6</w:t>
            </w:r>
          </w:p>
        </w:tc>
      </w:tr>
      <w:tr w14:paraId="317FB4F5">
        <w:tblPrEx>
          <w:tblCellMar>
            <w:top w:w="0" w:type="dxa"/>
            <w:left w:w="108" w:type="dxa"/>
            <w:bottom w:w="0" w:type="dxa"/>
            <w:right w:w="108" w:type="dxa"/>
          </w:tblCellMar>
        </w:tblPrEx>
        <w:trPr>
          <w:trHeight w:val="704" w:hRule="atLeast"/>
          <w:jc w:val="center"/>
        </w:trPr>
        <w:tc>
          <w:tcPr>
            <w:tcW w:w="534" w:type="dxa"/>
            <w:vMerge w:val="continue"/>
            <w:tcBorders>
              <w:left w:val="single" w:color="auto" w:sz="4" w:space="0"/>
              <w:right w:val="single" w:color="auto" w:sz="4" w:space="0"/>
            </w:tcBorders>
            <w:shd w:val="clear" w:color="auto" w:fill="auto"/>
            <w:vAlign w:val="center"/>
          </w:tcPr>
          <w:p w14:paraId="51BD1996">
            <w:pPr>
              <w:jc w:val="center"/>
              <w:rPr>
                <w:color w:val="000000"/>
                <w:sz w:val="18"/>
                <w:szCs w:val="18"/>
              </w:rPr>
            </w:pPr>
          </w:p>
        </w:tc>
        <w:tc>
          <w:tcPr>
            <w:tcW w:w="992" w:type="dxa"/>
            <w:vMerge w:val="restart"/>
            <w:tcBorders>
              <w:top w:val="single" w:color="auto" w:sz="4" w:space="0"/>
              <w:left w:val="single" w:color="auto" w:sz="4" w:space="0"/>
              <w:right w:val="single" w:color="auto" w:sz="4" w:space="0"/>
            </w:tcBorders>
            <w:shd w:val="clear" w:color="auto" w:fill="auto"/>
            <w:vAlign w:val="center"/>
          </w:tcPr>
          <w:p w14:paraId="5E8B618A">
            <w:pPr>
              <w:jc w:val="center"/>
              <w:rPr>
                <w:color w:val="000000"/>
                <w:sz w:val="18"/>
                <w:szCs w:val="18"/>
              </w:rPr>
            </w:pPr>
            <w:r>
              <w:rPr>
                <w:rFonts w:hint="eastAsia"/>
                <w:color w:val="000000"/>
                <w:sz w:val="18"/>
                <w:szCs w:val="18"/>
              </w:rPr>
              <w:t>移栽稻/旱直播稻/湿直播稻</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2429C101">
            <w:pPr>
              <w:jc w:val="center"/>
              <w:rPr>
                <w:color w:val="000000"/>
                <w:sz w:val="18"/>
                <w:szCs w:val="18"/>
              </w:rPr>
            </w:pPr>
            <w:r>
              <w:rPr>
                <w:rFonts w:hint="eastAsia"/>
                <w:color w:val="000000"/>
                <w:sz w:val="18"/>
                <w:szCs w:val="18"/>
              </w:rPr>
              <w:t>分蘖期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70DDFCFB">
            <w:pPr>
              <w:jc w:val="center"/>
              <w:rPr>
                <w:color w:val="000000"/>
                <w:sz w:val="18"/>
                <w:szCs w:val="18"/>
              </w:rPr>
            </w:pPr>
            <w:bookmarkStart w:id="11" w:name="_Hlk174888093"/>
            <w:r>
              <w:rPr>
                <w:rFonts w:hint="eastAsia"/>
                <w:color w:val="000000"/>
                <w:kern w:val="0"/>
                <w:sz w:val="18"/>
                <w:szCs w:val="18"/>
              </w:rPr>
              <w:t>表土发硬，田边发白</w:t>
            </w:r>
            <w:bookmarkEnd w:id="11"/>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0F3F1D2D">
            <w:pPr>
              <w:jc w:val="center"/>
              <w:rPr>
                <w:color w:val="000000"/>
                <w:sz w:val="18"/>
                <w:szCs w:val="18"/>
              </w:rPr>
            </w:pPr>
            <w:r>
              <w:rPr>
                <w:rFonts w:hint="eastAsia"/>
                <w:color w:val="000000"/>
                <w:sz w:val="18"/>
                <w:szCs w:val="18"/>
              </w:rPr>
              <w:t>田面水层</w:t>
            </w:r>
          </w:p>
          <w:p w14:paraId="034F01B9">
            <w:pPr>
              <w:jc w:val="center"/>
              <w:rPr>
                <w:color w:val="000000"/>
                <w:sz w:val="18"/>
                <w:szCs w:val="18"/>
              </w:rPr>
            </w:pPr>
            <w:r>
              <w:rPr>
                <w:color w:val="000000"/>
                <w:sz w:val="18"/>
                <w:szCs w:val="18"/>
              </w:rPr>
              <w:t>20</w:t>
            </w:r>
            <w:r>
              <w:rPr>
                <w:rFonts w:hint="eastAsia"/>
                <w:color w:val="000000"/>
                <w:kern w:val="0"/>
                <w:sz w:val="18"/>
                <w:szCs w:val="18"/>
              </w:rPr>
              <w:t>～</w:t>
            </w:r>
            <w:r>
              <w:rPr>
                <w:color w:val="000000"/>
                <w:sz w:val="18"/>
                <w:szCs w:val="18"/>
              </w:rPr>
              <w:t>40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0901B66E">
            <w:pPr>
              <w:jc w:val="center"/>
              <w:rPr>
                <w:color w:val="000000"/>
                <w:sz w:val="18"/>
                <w:szCs w:val="18"/>
              </w:rPr>
            </w:pPr>
            <w:r>
              <w:rPr>
                <w:color w:val="000000"/>
                <w:sz w:val="18"/>
                <w:szCs w:val="18"/>
              </w:rPr>
              <w:t>22</w:t>
            </w:r>
            <w:r>
              <w:rPr>
                <w:rFonts w:hint="eastAsia"/>
                <w:color w:val="000000"/>
                <w:kern w:val="0"/>
                <w:sz w:val="18"/>
                <w:szCs w:val="18"/>
              </w:rPr>
              <w:t>～</w:t>
            </w:r>
            <w:r>
              <w:rPr>
                <w:color w:val="000000"/>
                <w:sz w:val="18"/>
                <w:szCs w:val="18"/>
              </w:rPr>
              <w:t>43</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1C0517D">
            <w:pPr>
              <w:jc w:val="center"/>
              <w:rPr>
                <w:color w:val="000000"/>
                <w:sz w:val="18"/>
                <w:szCs w:val="18"/>
              </w:rPr>
            </w:pPr>
            <w:r>
              <w:rPr>
                <w:rFonts w:hint="eastAsia"/>
                <w:color w:val="000000"/>
                <w:sz w:val="18"/>
                <w:szCs w:val="18"/>
              </w:rPr>
              <w:t>7</w:t>
            </w:r>
            <w:r>
              <w:rPr>
                <w:rFonts w:hint="eastAsia"/>
                <w:color w:val="000000"/>
                <w:kern w:val="0"/>
                <w:sz w:val="18"/>
                <w:szCs w:val="18"/>
              </w:rPr>
              <w:t>～</w:t>
            </w:r>
            <w:r>
              <w:rPr>
                <w:rFonts w:hint="eastAsia"/>
                <w:color w:val="000000"/>
                <w:sz w:val="18"/>
                <w:szCs w:val="18"/>
              </w:rPr>
              <w:t>9</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6A02E35E">
            <w:pPr>
              <w:jc w:val="center"/>
              <w:rPr>
                <w:color w:val="000000"/>
                <w:sz w:val="18"/>
                <w:szCs w:val="18"/>
              </w:rPr>
            </w:pPr>
            <w:r>
              <w:rPr>
                <w:rFonts w:hint="eastAsia"/>
                <w:color w:val="000000"/>
                <w:sz w:val="18"/>
                <w:szCs w:val="18"/>
              </w:rPr>
              <w:t>8</w:t>
            </w:r>
            <w:r>
              <w:rPr>
                <w:rFonts w:hint="eastAsia"/>
                <w:color w:val="000000"/>
                <w:kern w:val="0"/>
                <w:sz w:val="18"/>
                <w:szCs w:val="18"/>
              </w:rPr>
              <w:t>～</w:t>
            </w:r>
            <w:r>
              <w:rPr>
                <w:rFonts w:hint="eastAsia"/>
                <w:color w:val="000000"/>
                <w:sz w:val="18"/>
                <w:szCs w:val="18"/>
              </w:rPr>
              <w:t>10</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0BD97C3C">
            <w:pPr>
              <w:jc w:val="center"/>
              <w:rPr>
                <w:color w:val="000000"/>
                <w:sz w:val="18"/>
                <w:szCs w:val="18"/>
              </w:rPr>
            </w:pPr>
            <w:r>
              <w:rPr>
                <w:rFonts w:hint="eastAsia"/>
                <w:color w:val="000000"/>
                <w:sz w:val="18"/>
                <w:szCs w:val="18"/>
              </w:rPr>
              <w:t>9</w:t>
            </w:r>
            <w:r>
              <w:rPr>
                <w:rFonts w:hint="eastAsia"/>
                <w:color w:val="000000"/>
                <w:kern w:val="0"/>
                <w:sz w:val="18"/>
                <w:szCs w:val="18"/>
              </w:rPr>
              <w:t>～</w:t>
            </w:r>
            <w:r>
              <w:rPr>
                <w:rFonts w:hint="eastAsia"/>
                <w:color w:val="000000"/>
                <w:sz w:val="18"/>
                <w:szCs w:val="18"/>
              </w:rPr>
              <w:t>11</w:t>
            </w:r>
          </w:p>
        </w:tc>
      </w:tr>
      <w:tr w14:paraId="29294129">
        <w:tblPrEx>
          <w:tblCellMar>
            <w:top w:w="0" w:type="dxa"/>
            <w:left w:w="108" w:type="dxa"/>
            <w:bottom w:w="0" w:type="dxa"/>
            <w:right w:w="108" w:type="dxa"/>
          </w:tblCellMar>
        </w:tblPrEx>
        <w:trPr>
          <w:trHeight w:val="715" w:hRule="atLeast"/>
          <w:jc w:val="center"/>
        </w:trPr>
        <w:tc>
          <w:tcPr>
            <w:tcW w:w="534" w:type="dxa"/>
            <w:vMerge w:val="continue"/>
            <w:tcBorders>
              <w:left w:val="single" w:color="auto" w:sz="4" w:space="0"/>
              <w:right w:val="single" w:color="auto" w:sz="4" w:space="0"/>
            </w:tcBorders>
            <w:shd w:val="clear" w:color="auto" w:fill="auto"/>
            <w:vAlign w:val="center"/>
          </w:tcPr>
          <w:p w14:paraId="0B4DE676">
            <w:pPr>
              <w:jc w:val="center"/>
              <w:rPr>
                <w:color w:val="000000"/>
                <w:sz w:val="18"/>
                <w:szCs w:val="18"/>
              </w:rPr>
            </w:pPr>
          </w:p>
        </w:tc>
        <w:tc>
          <w:tcPr>
            <w:tcW w:w="992" w:type="dxa"/>
            <w:vMerge w:val="continue"/>
            <w:tcBorders>
              <w:left w:val="single" w:color="auto" w:sz="4" w:space="0"/>
              <w:right w:val="single" w:color="auto" w:sz="4" w:space="0"/>
            </w:tcBorders>
            <w:shd w:val="clear" w:color="auto" w:fill="auto"/>
            <w:vAlign w:val="center"/>
          </w:tcPr>
          <w:p w14:paraId="468EECF9">
            <w:pPr>
              <w:jc w:val="center"/>
              <w:rPr>
                <w:color w:val="000000"/>
                <w:sz w:val="18"/>
                <w:szCs w:val="18"/>
              </w:rPr>
            </w:pP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7425D775">
            <w:pPr>
              <w:jc w:val="center"/>
              <w:rPr>
                <w:color w:val="000000"/>
                <w:sz w:val="18"/>
                <w:szCs w:val="18"/>
              </w:rPr>
            </w:pPr>
            <w:r>
              <w:rPr>
                <w:rFonts w:hint="eastAsia"/>
                <w:color w:val="000000"/>
                <w:sz w:val="18"/>
                <w:szCs w:val="18"/>
              </w:rPr>
              <w:t>分蘖盛期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6AC79CE3">
            <w:pPr>
              <w:jc w:val="center"/>
              <w:rPr>
                <w:color w:val="000000"/>
                <w:kern w:val="0"/>
                <w:sz w:val="18"/>
                <w:szCs w:val="18"/>
              </w:rPr>
            </w:pPr>
            <w:r>
              <w:rPr>
                <w:rFonts w:hint="eastAsia"/>
                <w:color w:val="000000"/>
                <w:kern w:val="0"/>
                <w:sz w:val="18"/>
                <w:szCs w:val="18"/>
              </w:rPr>
              <w:t>田边发白，裂缝&lt;0.3 cm</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06DA9433">
            <w:pPr>
              <w:jc w:val="center"/>
              <w:rPr>
                <w:color w:val="000000"/>
                <w:sz w:val="18"/>
                <w:szCs w:val="18"/>
              </w:rPr>
            </w:pPr>
            <w:r>
              <w:rPr>
                <w:rFonts w:hint="eastAsia"/>
                <w:color w:val="000000"/>
                <w:sz w:val="18"/>
                <w:szCs w:val="18"/>
              </w:rPr>
              <w:t>田面水层</w:t>
            </w:r>
          </w:p>
          <w:p w14:paraId="0A741304">
            <w:pPr>
              <w:jc w:val="center"/>
              <w:rPr>
                <w:color w:val="000000"/>
                <w:sz w:val="18"/>
                <w:szCs w:val="18"/>
              </w:rPr>
            </w:pPr>
            <w:r>
              <w:rPr>
                <w:color w:val="000000"/>
                <w:sz w:val="18"/>
                <w:szCs w:val="18"/>
              </w:rPr>
              <w:t>20</w:t>
            </w:r>
            <w:r>
              <w:rPr>
                <w:rFonts w:hint="eastAsia"/>
                <w:color w:val="000000"/>
                <w:kern w:val="0"/>
                <w:sz w:val="18"/>
                <w:szCs w:val="18"/>
              </w:rPr>
              <w:t>～</w:t>
            </w:r>
            <w:r>
              <w:rPr>
                <w:color w:val="000000"/>
                <w:sz w:val="18"/>
                <w:szCs w:val="18"/>
              </w:rPr>
              <w:t>40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220A338E">
            <w:pPr>
              <w:jc w:val="center"/>
              <w:rPr>
                <w:color w:val="000000"/>
                <w:sz w:val="18"/>
                <w:szCs w:val="18"/>
              </w:rPr>
            </w:pPr>
            <w:r>
              <w:rPr>
                <w:rFonts w:hint="eastAsia"/>
                <w:color w:val="000000"/>
                <w:sz w:val="18"/>
                <w:szCs w:val="18"/>
              </w:rPr>
              <w:t>50</w:t>
            </w:r>
            <w:r>
              <w:rPr>
                <w:rFonts w:hint="eastAsia"/>
                <w:color w:val="000000"/>
                <w:kern w:val="0"/>
                <w:sz w:val="18"/>
                <w:szCs w:val="18"/>
              </w:rPr>
              <w:t>～</w:t>
            </w:r>
            <w:r>
              <w:rPr>
                <w:rFonts w:hint="eastAsia"/>
                <w:color w:val="000000"/>
                <w:sz w:val="18"/>
                <w:szCs w:val="18"/>
              </w:rPr>
              <w:t>70</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C68A3C7">
            <w:pPr>
              <w:jc w:val="center"/>
              <w:rPr>
                <w:color w:val="000000"/>
                <w:sz w:val="18"/>
                <w:szCs w:val="18"/>
              </w:rPr>
            </w:pPr>
            <w:r>
              <w:rPr>
                <w:rFonts w:hint="eastAsia"/>
                <w:color w:val="000000"/>
                <w:sz w:val="18"/>
                <w:szCs w:val="18"/>
              </w:rPr>
              <w:t>8</w:t>
            </w:r>
            <w:r>
              <w:rPr>
                <w:rFonts w:hint="eastAsia"/>
                <w:color w:val="000000"/>
                <w:kern w:val="0"/>
                <w:sz w:val="18"/>
                <w:szCs w:val="18"/>
              </w:rPr>
              <w:t>～</w:t>
            </w:r>
            <w:r>
              <w:rPr>
                <w:rFonts w:hint="eastAsia"/>
                <w:color w:val="000000"/>
                <w:sz w:val="18"/>
                <w:szCs w:val="18"/>
              </w:rPr>
              <w:t>10</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555FF749">
            <w:pPr>
              <w:jc w:val="center"/>
              <w:rPr>
                <w:color w:val="000000"/>
                <w:sz w:val="18"/>
                <w:szCs w:val="18"/>
              </w:rPr>
            </w:pPr>
            <w:bookmarkStart w:id="12" w:name="_Hlk174888004"/>
            <w:r>
              <w:rPr>
                <w:rFonts w:hint="eastAsia"/>
                <w:color w:val="000000"/>
                <w:sz w:val="18"/>
                <w:szCs w:val="18"/>
              </w:rPr>
              <w:t>10</w:t>
            </w:r>
            <w:r>
              <w:rPr>
                <w:rFonts w:hint="eastAsia"/>
                <w:color w:val="000000"/>
                <w:kern w:val="0"/>
                <w:sz w:val="18"/>
                <w:szCs w:val="18"/>
              </w:rPr>
              <w:t>～</w:t>
            </w:r>
            <w:r>
              <w:rPr>
                <w:rFonts w:hint="eastAsia"/>
                <w:color w:val="000000"/>
                <w:sz w:val="18"/>
                <w:szCs w:val="18"/>
              </w:rPr>
              <w:t>1</w:t>
            </w:r>
            <w:bookmarkEnd w:id="12"/>
            <w:r>
              <w:rPr>
                <w:rFonts w:hint="eastAsia"/>
                <w:color w:val="000000"/>
                <w:sz w:val="18"/>
                <w:szCs w:val="18"/>
              </w:rPr>
              <w:t>2</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5D9E9E3C">
            <w:pPr>
              <w:jc w:val="center"/>
              <w:rPr>
                <w:color w:val="000000"/>
                <w:sz w:val="18"/>
                <w:szCs w:val="18"/>
              </w:rPr>
            </w:pPr>
            <w:r>
              <w:rPr>
                <w:rFonts w:hint="eastAsia"/>
                <w:color w:val="000000"/>
                <w:sz w:val="18"/>
                <w:szCs w:val="18"/>
              </w:rPr>
              <w:t>11</w:t>
            </w:r>
            <w:r>
              <w:rPr>
                <w:rFonts w:hint="eastAsia"/>
                <w:color w:val="000000"/>
                <w:kern w:val="0"/>
                <w:sz w:val="18"/>
                <w:szCs w:val="18"/>
              </w:rPr>
              <w:t>～</w:t>
            </w:r>
            <w:r>
              <w:rPr>
                <w:rFonts w:hint="eastAsia"/>
                <w:color w:val="000000"/>
                <w:sz w:val="18"/>
                <w:szCs w:val="18"/>
              </w:rPr>
              <w:t>13</w:t>
            </w:r>
          </w:p>
        </w:tc>
      </w:tr>
      <w:tr w14:paraId="482D52D2">
        <w:tblPrEx>
          <w:tblCellMar>
            <w:top w:w="0" w:type="dxa"/>
            <w:left w:w="108" w:type="dxa"/>
            <w:bottom w:w="0" w:type="dxa"/>
            <w:right w:w="108" w:type="dxa"/>
          </w:tblCellMar>
        </w:tblPrEx>
        <w:trPr>
          <w:trHeight w:val="715" w:hRule="atLeast"/>
          <w:jc w:val="center"/>
        </w:trPr>
        <w:tc>
          <w:tcPr>
            <w:tcW w:w="534" w:type="dxa"/>
            <w:vMerge w:val="continue"/>
            <w:tcBorders>
              <w:left w:val="single" w:color="auto" w:sz="4" w:space="0"/>
              <w:right w:val="single" w:color="auto" w:sz="4" w:space="0"/>
            </w:tcBorders>
            <w:shd w:val="clear" w:color="auto" w:fill="auto"/>
            <w:vAlign w:val="center"/>
          </w:tcPr>
          <w:p w14:paraId="2EB581CF">
            <w:pPr>
              <w:jc w:val="center"/>
              <w:rPr>
                <w:color w:val="000000"/>
                <w:sz w:val="18"/>
                <w:szCs w:val="18"/>
              </w:rPr>
            </w:pPr>
          </w:p>
        </w:tc>
        <w:tc>
          <w:tcPr>
            <w:tcW w:w="992" w:type="dxa"/>
            <w:vMerge w:val="continue"/>
            <w:tcBorders>
              <w:left w:val="single" w:color="auto" w:sz="4" w:space="0"/>
              <w:right w:val="single" w:color="auto" w:sz="4" w:space="0"/>
            </w:tcBorders>
            <w:shd w:val="clear" w:color="auto" w:fill="auto"/>
            <w:vAlign w:val="center"/>
          </w:tcPr>
          <w:p w14:paraId="0441B9B8">
            <w:pPr>
              <w:jc w:val="center"/>
              <w:rPr>
                <w:color w:val="000000"/>
                <w:sz w:val="18"/>
                <w:szCs w:val="18"/>
              </w:rPr>
            </w:pP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687E8150">
            <w:pPr>
              <w:jc w:val="center"/>
              <w:rPr>
                <w:color w:val="000000"/>
                <w:sz w:val="18"/>
                <w:szCs w:val="18"/>
              </w:rPr>
            </w:pPr>
            <w:r>
              <w:rPr>
                <w:rFonts w:hint="eastAsia"/>
                <w:color w:val="000000"/>
                <w:sz w:val="18"/>
                <w:szCs w:val="18"/>
              </w:rPr>
              <w:t>拔节期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5833C01D">
            <w:pPr>
              <w:jc w:val="center"/>
              <w:rPr>
                <w:color w:val="000000"/>
                <w:kern w:val="0"/>
                <w:sz w:val="18"/>
                <w:szCs w:val="18"/>
              </w:rPr>
            </w:pPr>
            <w:r>
              <w:rPr>
                <w:rFonts w:hint="eastAsia"/>
                <w:color w:val="000000"/>
                <w:kern w:val="0"/>
                <w:sz w:val="18"/>
                <w:szCs w:val="18"/>
              </w:rPr>
              <w:t>表土发硬，田边发白</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545E0182">
            <w:pPr>
              <w:jc w:val="center"/>
              <w:rPr>
                <w:color w:val="000000"/>
                <w:sz w:val="18"/>
                <w:szCs w:val="18"/>
              </w:rPr>
            </w:pPr>
            <w:r>
              <w:rPr>
                <w:rFonts w:hint="eastAsia"/>
                <w:color w:val="000000"/>
                <w:sz w:val="18"/>
                <w:szCs w:val="18"/>
              </w:rPr>
              <w:t>田面水层</w:t>
            </w:r>
          </w:p>
          <w:p w14:paraId="356CC46D">
            <w:pPr>
              <w:jc w:val="center"/>
              <w:rPr>
                <w:color w:val="000000"/>
                <w:sz w:val="18"/>
                <w:szCs w:val="18"/>
              </w:rPr>
            </w:pPr>
            <w:r>
              <w:rPr>
                <w:color w:val="000000"/>
                <w:sz w:val="18"/>
                <w:szCs w:val="18"/>
              </w:rPr>
              <w:t>20</w:t>
            </w:r>
            <w:r>
              <w:rPr>
                <w:rFonts w:hint="eastAsia"/>
                <w:color w:val="000000"/>
                <w:kern w:val="0"/>
                <w:sz w:val="18"/>
                <w:szCs w:val="18"/>
              </w:rPr>
              <w:t>～</w:t>
            </w:r>
            <w:r>
              <w:rPr>
                <w:color w:val="000000"/>
                <w:sz w:val="18"/>
                <w:szCs w:val="18"/>
              </w:rPr>
              <w:t>40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28B8482A">
            <w:pPr>
              <w:jc w:val="center"/>
              <w:rPr>
                <w:color w:val="000000"/>
                <w:sz w:val="18"/>
                <w:szCs w:val="18"/>
              </w:rPr>
            </w:pPr>
            <w:r>
              <w:rPr>
                <w:color w:val="000000"/>
                <w:sz w:val="18"/>
                <w:szCs w:val="18"/>
              </w:rPr>
              <w:t>22</w:t>
            </w:r>
            <w:r>
              <w:rPr>
                <w:rFonts w:hint="eastAsia"/>
                <w:color w:val="000000"/>
                <w:kern w:val="0"/>
                <w:sz w:val="18"/>
                <w:szCs w:val="18"/>
              </w:rPr>
              <w:t>～</w:t>
            </w:r>
            <w:r>
              <w:rPr>
                <w:color w:val="000000"/>
                <w:sz w:val="18"/>
                <w:szCs w:val="18"/>
              </w:rPr>
              <w:t>43</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40B5406F">
            <w:pPr>
              <w:jc w:val="center"/>
              <w:rPr>
                <w:color w:val="000000"/>
                <w:sz w:val="18"/>
                <w:szCs w:val="18"/>
              </w:rPr>
            </w:pPr>
            <w:r>
              <w:rPr>
                <w:rFonts w:hint="eastAsia"/>
                <w:color w:val="000000"/>
                <w:sz w:val="18"/>
                <w:szCs w:val="18"/>
              </w:rPr>
              <w:t>6</w:t>
            </w:r>
            <w:r>
              <w:rPr>
                <w:rFonts w:hint="eastAsia"/>
                <w:color w:val="000000"/>
                <w:kern w:val="0"/>
                <w:sz w:val="18"/>
                <w:szCs w:val="18"/>
              </w:rPr>
              <w:t>～</w:t>
            </w:r>
            <w:r>
              <w:rPr>
                <w:rFonts w:hint="eastAsia"/>
                <w:color w:val="000000"/>
                <w:sz w:val="18"/>
                <w:szCs w:val="18"/>
              </w:rPr>
              <w:t>8</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0475BF9D">
            <w:pPr>
              <w:jc w:val="center"/>
              <w:rPr>
                <w:color w:val="000000"/>
                <w:sz w:val="18"/>
                <w:szCs w:val="18"/>
              </w:rPr>
            </w:pPr>
            <w:r>
              <w:rPr>
                <w:rFonts w:hint="eastAsia"/>
                <w:color w:val="000000"/>
                <w:sz w:val="18"/>
                <w:szCs w:val="18"/>
              </w:rPr>
              <w:t>7</w:t>
            </w:r>
            <w:r>
              <w:rPr>
                <w:rFonts w:hint="eastAsia"/>
                <w:color w:val="000000"/>
                <w:kern w:val="0"/>
                <w:sz w:val="18"/>
                <w:szCs w:val="18"/>
              </w:rPr>
              <w:t>～</w:t>
            </w:r>
            <w:r>
              <w:rPr>
                <w:rFonts w:hint="eastAsia"/>
                <w:color w:val="000000"/>
                <w:sz w:val="18"/>
                <w:szCs w:val="18"/>
              </w:rPr>
              <w:t>9</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3444A2FB">
            <w:pPr>
              <w:jc w:val="center"/>
              <w:rPr>
                <w:color w:val="000000"/>
                <w:sz w:val="18"/>
                <w:szCs w:val="18"/>
              </w:rPr>
            </w:pPr>
            <w:r>
              <w:rPr>
                <w:rFonts w:hint="eastAsia"/>
                <w:color w:val="000000"/>
                <w:sz w:val="18"/>
                <w:szCs w:val="18"/>
              </w:rPr>
              <w:t>8</w:t>
            </w:r>
            <w:r>
              <w:rPr>
                <w:rFonts w:hint="eastAsia"/>
                <w:color w:val="000000"/>
                <w:kern w:val="0"/>
                <w:sz w:val="18"/>
                <w:szCs w:val="18"/>
              </w:rPr>
              <w:t>～</w:t>
            </w:r>
            <w:r>
              <w:rPr>
                <w:rFonts w:hint="eastAsia"/>
                <w:color w:val="000000"/>
                <w:sz w:val="18"/>
                <w:szCs w:val="18"/>
              </w:rPr>
              <w:t>10</w:t>
            </w:r>
          </w:p>
        </w:tc>
      </w:tr>
      <w:tr w14:paraId="64EC3AD5">
        <w:tblPrEx>
          <w:tblCellMar>
            <w:top w:w="0" w:type="dxa"/>
            <w:left w:w="108" w:type="dxa"/>
            <w:bottom w:w="0" w:type="dxa"/>
            <w:right w:w="108" w:type="dxa"/>
          </w:tblCellMar>
        </w:tblPrEx>
        <w:trPr>
          <w:trHeight w:val="715" w:hRule="atLeast"/>
          <w:jc w:val="center"/>
        </w:trPr>
        <w:tc>
          <w:tcPr>
            <w:tcW w:w="534" w:type="dxa"/>
            <w:vMerge w:val="continue"/>
            <w:tcBorders>
              <w:left w:val="single" w:color="auto" w:sz="4" w:space="0"/>
              <w:bottom w:val="single" w:color="auto" w:sz="4" w:space="0"/>
              <w:right w:val="single" w:color="auto" w:sz="4" w:space="0"/>
            </w:tcBorders>
            <w:shd w:val="clear" w:color="auto" w:fill="auto"/>
            <w:vAlign w:val="center"/>
          </w:tcPr>
          <w:p w14:paraId="0DCF21C0">
            <w:pPr>
              <w:jc w:val="center"/>
              <w:rPr>
                <w:color w:val="000000"/>
                <w:sz w:val="18"/>
                <w:szCs w:val="18"/>
              </w:rPr>
            </w:pPr>
          </w:p>
        </w:tc>
        <w:tc>
          <w:tcPr>
            <w:tcW w:w="992" w:type="dxa"/>
            <w:vMerge w:val="continue"/>
            <w:tcBorders>
              <w:left w:val="single" w:color="auto" w:sz="4" w:space="0"/>
              <w:bottom w:val="single" w:color="auto" w:sz="4" w:space="0"/>
              <w:right w:val="single" w:color="auto" w:sz="4" w:space="0"/>
            </w:tcBorders>
            <w:shd w:val="clear" w:color="auto" w:fill="auto"/>
            <w:vAlign w:val="center"/>
          </w:tcPr>
          <w:p w14:paraId="5E4E85F6">
            <w:pPr>
              <w:rPr>
                <w:color w:val="000000"/>
                <w:sz w:val="18"/>
                <w:szCs w:val="18"/>
              </w:rPr>
            </w:pP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05760596">
            <w:pPr>
              <w:jc w:val="center"/>
              <w:rPr>
                <w:color w:val="000000"/>
                <w:sz w:val="18"/>
                <w:szCs w:val="18"/>
              </w:rPr>
            </w:pPr>
            <w:bookmarkStart w:id="13" w:name="_Hlk170507366"/>
            <w:r>
              <w:rPr>
                <w:rFonts w:hint="eastAsia"/>
                <w:color w:val="000000"/>
                <w:sz w:val="18"/>
                <w:szCs w:val="18"/>
              </w:rPr>
              <w:t>孕穗期至</w:t>
            </w:r>
            <w:bookmarkEnd w:id="13"/>
            <w:r>
              <w:rPr>
                <w:rFonts w:hint="eastAsia"/>
                <w:color w:val="000000"/>
                <w:sz w:val="18"/>
                <w:szCs w:val="18"/>
              </w:rPr>
              <w:t>灌浆期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1BC10F74">
            <w:pPr>
              <w:jc w:val="center"/>
              <w:rPr>
                <w:color w:val="000000"/>
                <w:sz w:val="18"/>
                <w:szCs w:val="18"/>
              </w:rPr>
            </w:pPr>
            <w:bookmarkStart w:id="14" w:name="_Hlk174888171"/>
            <w:r>
              <w:rPr>
                <w:rFonts w:hint="eastAsia"/>
                <w:color w:val="000000"/>
                <w:kern w:val="0"/>
                <w:sz w:val="18"/>
                <w:szCs w:val="18"/>
              </w:rPr>
              <w:t>田边表土发白，有细裂缝</w:t>
            </w:r>
            <w:bookmarkEnd w:id="14"/>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587AA550">
            <w:pPr>
              <w:jc w:val="center"/>
              <w:rPr>
                <w:color w:val="000000"/>
                <w:sz w:val="18"/>
                <w:szCs w:val="18"/>
              </w:rPr>
            </w:pPr>
            <w:r>
              <w:rPr>
                <w:rFonts w:hint="eastAsia"/>
                <w:color w:val="000000"/>
                <w:sz w:val="18"/>
                <w:szCs w:val="18"/>
              </w:rPr>
              <w:t>田面水层</w:t>
            </w:r>
          </w:p>
          <w:p w14:paraId="7424D589">
            <w:pPr>
              <w:jc w:val="center"/>
              <w:rPr>
                <w:color w:val="000000"/>
                <w:sz w:val="18"/>
                <w:szCs w:val="18"/>
              </w:rPr>
            </w:pPr>
            <w:bookmarkStart w:id="15" w:name="_Hlk170507378"/>
            <w:r>
              <w:rPr>
                <w:rFonts w:hint="eastAsia"/>
                <w:color w:val="000000"/>
                <w:sz w:val="18"/>
                <w:szCs w:val="18"/>
              </w:rPr>
              <w:t>40</w:t>
            </w:r>
            <w:r>
              <w:rPr>
                <w:rFonts w:hint="eastAsia"/>
                <w:color w:val="000000"/>
                <w:kern w:val="0"/>
                <w:sz w:val="18"/>
                <w:szCs w:val="18"/>
              </w:rPr>
              <w:t>～</w:t>
            </w:r>
            <w:r>
              <w:rPr>
                <w:rFonts w:hint="eastAsia"/>
                <w:color w:val="000000"/>
                <w:sz w:val="18"/>
                <w:szCs w:val="18"/>
              </w:rPr>
              <w:t>60</w:t>
            </w:r>
            <w:r>
              <w:rPr>
                <w:color w:val="000000"/>
                <w:sz w:val="18"/>
                <w:szCs w:val="18"/>
              </w:rPr>
              <w:t xml:space="preserve"> mm</w:t>
            </w:r>
            <w:bookmarkEnd w:id="15"/>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4420E30D">
            <w:pPr>
              <w:jc w:val="center"/>
              <w:rPr>
                <w:color w:val="000000"/>
                <w:sz w:val="18"/>
                <w:szCs w:val="18"/>
              </w:rPr>
            </w:pPr>
            <w:r>
              <w:rPr>
                <w:rFonts w:hint="eastAsia"/>
                <w:color w:val="000000"/>
                <w:sz w:val="18"/>
                <w:szCs w:val="18"/>
              </w:rPr>
              <w:t>43</w:t>
            </w:r>
            <w:r>
              <w:rPr>
                <w:rFonts w:hint="eastAsia"/>
                <w:color w:val="000000"/>
                <w:kern w:val="0"/>
                <w:sz w:val="18"/>
                <w:szCs w:val="18"/>
              </w:rPr>
              <w:t>～</w:t>
            </w:r>
            <w:r>
              <w:rPr>
                <w:rFonts w:hint="eastAsia"/>
                <w:color w:val="000000"/>
                <w:sz w:val="18"/>
                <w:szCs w:val="18"/>
              </w:rPr>
              <w:t>70</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3CB35459">
            <w:pPr>
              <w:jc w:val="center"/>
              <w:rPr>
                <w:color w:val="000000"/>
                <w:sz w:val="18"/>
                <w:szCs w:val="18"/>
              </w:rPr>
            </w:pPr>
            <w:r>
              <w:rPr>
                <w:rFonts w:hint="eastAsia"/>
                <w:color w:val="000000"/>
                <w:sz w:val="18"/>
                <w:szCs w:val="18"/>
              </w:rPr>
              <w:t>10</w:t>
            </w:r>
            <w:r>
              <w:rPr>
                <w:rFonts w:hint="eastAsia"/>
                <w:color w:val="000000"/>
                <w:kern w:val="0"/>
                <w:sz w:val="18"/>
                <w:szCs w:val="18"/>
              </w:rPr>
              <w:t>～</w:t>
            </w:r>
            <w:r>
              <w:rPr>
                <w:rFonts w:hint="eastAsia"/>
                <w:color w:val="000000"/>
                <w:sz w:val="18"/>
                <w:szCs w:val="18"/>
              </w:rPr>
              <w:t>12</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46B7A004">
            <w:pPr>
              <w:jc w:val="center"/>
              <w:rPr>
                <w:color w:val="000000"/>
                <w:sz w:val="18"/>
                <w:szCs w:val="18"/>
              </w:rPr>
            </w:pPr>
            <w:r>
              <w:rPr>
                <w:rFonts w:hint="eastAsia"/>
                <w:color w:val="000000"/>
                <w:sz w:val="18"/>
                <w:szCs w:val="18"/>
              </w:rPr>
              <w:t>11</w:t>
            </w:r>
            <w:r>
              <w:rPr>
                <w:rFonts w:hint="eastAsia"/>
                <w:color w:val="000000"/>
                <w:kern w:val="0"/>
                <w:sz w:val="18"/>
                <w:szCs w:val="18"/>
              </w:rPr>
              <w:t>～</w:t>
            </w:r>
            <w:r>
              <w:rPr>
                <w:rFonts w:hint="eastAsia"/>
                <w:color w:val="000000"/>
                <w:sz w:val="18"/>
                <w:szCs w:val="18"/>
              </w:rPr>
              <w:t>13</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0D829073">
            <w:pPr>
              <w:jc w:val="center"/>
              <w:rPr>
                <w:color w:val="000000"/>
                <w:sz w:val="18"/>
                <w:szCs w:val="18"/>
              </w:rPr>
            </w:pPr>
            <w:r>
              <w:rPr>
                <w:rFonts w:hint="eastAsia"/>
                <w:color w:val="000000"/>
                <w:sz w:val="18"/>
                <w:szCs w:val="18"/>
              </w:rPr>
              <w:t>12</w:t>
            </w:r>
            <w:r>
              <w:rPr>
                <w:rFonts w:hint="eastAsia"/>
                <w:color w:val="000000"/>
                <w:kern w:val="0"/>
                <w:sz w:val="18"/>
                <w:szCs w:val="18"/>
              </w:rPr>
              <w:t>～</w:t>
            </w:r>
            <w:r>
              <w:rPr>
                <w:rFonts w:hint="eastAsia"/>
                <w:color w:val="000000"/>
                <w:sz w:val="18"/>
                <w:szCs w:val="18"/>
              </w:rPr>
              <w:t>14</w:t>
            </w:r>
          </w:p>
        </w:tc>
      </w:tr>
      <w:tr w14:paraId="1E9B6FE9">
        <w:tblPrEx>
          <w:tblCellMar>
            <w:top w:w="0" w:type="dxa"/>
            <w:left w:w="108" w:type="dxa"/>
            <w:bottom w:w="0" w:type="dxa"/>
            <w:right w:w="108" w:type="dxa"/>
          </w:tblCellMar>
        </w:tblPrEx>
        <w:trPr>
          <w:trHeight w:val="473" w:hRule="atLeast"/>
          <w:jc w:val="center"/>
        </w:trPr>
        <w:tc>
          <w:tcPr>
            <w:tcW w:w="534" w:type="dxa"/>
            <w:vMerge w:val="restart"/>
            <w:tcBorders>
              <w:top w:val="single" w:color="auto" w:sz="4" w:space="0"/>
              <w:left w:val="single" w:color="auto" w:sz="4" w:space="0"/>
              <w:right w:val="single" w:color="auto" w:sz="4" w:space="0"/>
            </w:tcBorders>
            <w:shd w:val="clear" w:color="auto" w:fill="auto"/>
            <w:vAlign w:val="center"/>
          </w:tcPr>
          <w:p w14:paraId="5599D9EA">
            <w:pPr>
              <w:jc w:val="center"/>
              <w:rPr>
                <w:color w:val="000000"/>
                <w:sz w:val="18"/>
                <w:szCs w:val="18"/>
              </w:rPr>
            </w:pPr>
            <w:r>
              <w:rPr>
                <w:rFonts w:hint="eastAsia"/>
                <w:color w:val="000000"/>
                <w:sz w:val="18"/>
                <w:szCs w:val="18"/>
              </w:rPr>
              <w:t>晚稻季</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A49CC5D">
            <w:pPr>
              <w:jc w:val="center"/>
              <w:rPr>
                <w:color w:val="000000"/>
                <w:sz w:val="18"/>
                <w:szCs w:val="18"/>
              </w:rPr>
            </w:pPr>
            <w:r>
              <w:rPr>
                <w:rFonts w:hint="eastAsia"/>
                <w:color w:val="000000"/>
                <w:sz w:val="18"/>
                <w:szCs w:val="18"/>
              </w:rPr>
              <w:t>移栽稻/湿直播稻</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C31C3E8">
            <w:pPr>
              <w:jc w:val="center"/>
              <w:rPr>
                <w:color w:val="000000"/>
                <w:sz w:val="18"/>
                <w:szCs w:val="18"/>
              </w:rPr>
            </w:pPr>
            <w:r>
              <w:rPr>
                <w:rFonts w:hint="eastAsia"/>
                <w:color w:val="000000"/>
                <w:sz w:val="18"/>
                <w:szCs w:val="18"/>
              </w:rPr>
              <w:t>泡田期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2C3576FF">
            <w:pPr>
              <w:jc w:val="center"/>
              <w:rPr>
                <w:color w:val="000000"/>
                <w:sz w:val="18"/>
                <w:szCs w:val="18"/>
              </w:rPr>
            </w:pPr>
            <w:r>
              <w:rPr>
                <w:rFonts w:hint="eastAsia"/>
                <w:color w:val="000000"/>
                <w:sz w:val="18"/>
                <w:szCs w:val="18"/>
              </w:rPr>
              <w:t>田面水层</w:t>
            </w:r>
          </w:p>
          <w:p w14:paraId="1A22D4B4">
            <w:pPr>
              <w:jc w:val="center"/>
              <w:rPr>
                <w:color w:val="000000"/>
                <w:sz w:val="18"/>
                <w:szCs w:val="18"/>
              </w:rPr>
            </w:pPr>
            <w:r>
              <w:rPr>
                <w:rFonts w:hint="eastAsia"/>
                <w:color w:val="000000"/>
                <w:sz w:val="18"/>
                <w:szCs w:val="18"/>
              </w:rPr>
              <w:t>10</w:t>
            </w:r>
            <w:r>
              <w:rPr>
                <w:color w:val="000000"/>
                <w:sz w:val="18"/>
                <w:szCs w:val="18"/>
              </w:rPr>
              <w:t xml:space="preserve"> mm</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4546BC7B">
            <w:pPr>
              <w:jc w:val="center"/>
              <w:rPr>
                <w:color w:val="000000"/>
                <w:sz w:val="18"/>
                <w:szCs w:val="18"/>
              </w:rPr>
            </w:pPr>
            <w:r>
              <w:rPr>
                <w:rFonts w:hint="eastAsia"/>
                <w:color w:val="000000"/>
                <w:sz w:val="18"/>
                <w:szCs w:val="18"/>
              </w:rPr>
              <w:t>田面水层</w:t>
            </w:r>
          </w:p>
          <w:p w14:paraId="45B99246">
            <w:pPr>
              <w:jc w:val="center"/>
              <w:rPr>
                <w:color w:val="000000"/>
                <w:sz w:val="18"/>
                <w:szCs w:val="18"/>
              </w:rPr>
            </w:pPr>
            <w:r>
              <w:rPr>
                <w:rFonts w:hint="eastAsia"/>
                <w:color w:val="000000"/>
                <w:sz w:val="18"/>
                <w:szCs w:val="18"/>
              </w:rPr>
              <w:t>30</w:t>
            </w:r>
            <w:r>
              <w:rPr>
                <w:color w:val="000000"/>
                <w:sz w:val="18"/>
                <w:szCs w:val="18"/>
              </w:rPr>
              <w:t xml:space="preserve">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7B2D6E3A">
            <w:pPr>
              <w:jc w:val="center"/>
              <w:rPr>
                <w:color w:val="000000"/>
                <w:sz w:val="18"/>
                <w:szCs w:val="18"/>
              </w:rPr>
            </w:pPr>
            <w:r>
              <w:rPr>
                <w:rFonts w:hint="eastAsia"/>
                <w:color w:val="000000"/>
                <w:sz w:val="18"/>
                <w:szCs w:val="18"/>
              </w:rPr>
              <w:t>13</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8EAAF5E">
            <w:pPr>
              <w:jc w:val="center"/>
              <w:rPr>
                <w:color w:val="000000"/>
                <w:sz w:val="18"/>
                <w:szCs w:val="18"/>
              </w:rPr>
            </w:pPr>
            <w:r>
              <w:rPr>
                <w:color w:val="000000"/>
                <w:sz w:val="18"/>
                <w:szCs w:val="18"/>
              </w:rPr>
              <w:t>3</w:t>
            </w:r>
            <w:r>
              <w:rPr>
                <w:rFonts w:hint="eastAsia"/>
                <w:color w:val="000000"/>
                <w:kern w:val="0"/>
                <w:sz w:val="18"/>
                <w:szCs w:val="18"/>
              </w:rPr>
              <w:t>～</w:t>
            </w:r>
            <w:r>
              <w:rPr>
                <w:rFonts w:hint="eastAsia"/>
                <w:color w:val="000000"/>
                <w:sz w:val="18"/>
                <w:szCs w:val="18"/>
              </w:rPr>
              <w:t>5</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7E566C35">
            <w:pPr>
              <w:jc w:val="center"/>
              <w:rPr>
                <w:color w:val="000000"/>
                <w:sz w:val="18"/>
                <w:szCs w:val="18"/>
              </w:rPr>
            </w:pPr>
            <w:r>
              <w:rPr>
                <w:color w:val="000000"/>
                <w:sz w:val="18"/>
                <w:szCs w:val="18"/>
              </w:rPr>
              <w:t>3</w:t>
            </w:r>
            <w:r>
              <w:rPr>
                <w:rFonts w:hint="eastAsia"/>
                <w:color w:val="000000"/>
                <w:kern w:val="0"/>
                <w:sz w:val="18"/>
                <w:szCs w:val="18"/>
              </w:rPr>
              <w:t>～</w:t>
            </w:r>
            <w:r>
              <w:rPr>
                <w:rFonts w:hint="eastAsia"/>
                <w:color w:val="000000"/>
                <w:sz w:val="18"/>
                <w:szCs w:val="18"/>
              </w:rPr>
              <w:t>5</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54821CE5">
            <w:pPr>
              <w:jc w:val="center"/>
              <w:rPr>
                <w:color w:val="000000"/>
                <w:sz w:val="18"/>
                <w:szCs w:val="18"/>
              </w:rPr>
            </w:pPr>
            <w:r>
              <w:rPr>
                <w:color w:val="000000"/>
                <w:sz w:val="18"/>
                <w:szCs w:val="18"/>
              </w:rPr>
              <w:t>3</w:t>
            </w:r>
            <w:r>
              <w:rPr>
                <w:rFonts w:hint="eastAsia"/>
                <w:color w:val="000000"/>
                <w:kern w:val="0"/>
                <w:sz w:val="18"/>
                <w:szCs w:val="18"/>
              </w:rPr>
              <w:t>～</w:t>
            </w:r>
            <w:r>
              <w:rPr>
                <w:rFonts w:hint="eastAsia"/>
                <w:color w:val="000000"/>
                <w:sz w:val="18"/>
                <w:szCs w:val="18"/>
              </w:rPr>
              <w:t>5</w:t>
            </w:r>
          </w:p>
        </w:tc>
      </w:tr>
      <w:tr w14:paraId="749907F1">
        <w:tblPrEx>
          <w:tblCellMar>
            <w:top w:w="0" w:type="dxa"/>
            <w:left w:w="108" w:type="dxa"/>
            <w:bottom w:w="0" w:type="dxa"/>
            <w:right w:w="108" w:type="dxa"/>
          </w:tblCellMar>
        </w:tblPrEx>
        <w:trPr>
          <w:trHeight w:val="473" w:hRule="atLeast"/>
          <w:jc w:val="center"/>
        </w:trPr>
        <w:tc>
          <w:tcPr>
            <w:tcW w:w="534" w:type="dxa"/>
            <w:vMerge w:val="continue"/>
            <w:tcBorders>
              <w:left w:val="single" w:color="auto" w:sz="4" w:space="0"/>
              <w:right w:val="single" w:color="auto" w:sz="4" w:space="0"/>
            </w:tcBorders>
            <w:shd w:val="clear" w:color="auto" w:fill="auto"/>
            <w:vAlign w:val="center"/>
          </w:tcPr>
          <w:p w14:paraId="4C20F4A4">
            <w:pPr>
              <w:jc w:val="center"/>
              <w:rPr>
                <w:color w:val="000000"/>
                <w:sz w:val="18"/>
                <w:szCs w:val="18"/>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7561DDB">
            <w:pPr>
              <w:jc w:val="center"/>
              <w:rPr>
                <w:color w:val="000000"/>
                <w:sz w:val="18"/>
                <w:szCs w:val="18"/>
              </w:rPr>
            </w:pPr>
            <w:r>
              <w:rPr>
                <w:rFonts w:hint="eastAsia"/>
                <w:color w:val="000000"/>
                <w:sz w:val="18"/>
                <w:szCs w:val="18"/>
              </w:rPr>
              <w:t>移栽稻</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2DC43214">
            <w:pPr>
              <w:jc w:val="center"/>
              <w:rPr>
                <w:color w:val="000000"/>
                <w:sz w:val="18"/>
                <w:szCs w:val="18"/>
              </w:rPr>
            </w:pPr>
            <w:r>
              <w:rPr>
                <w:rFonts w:hint="eastAsia"/>
                <w:color w:val="000000"/>
                <w:sz w:val="18"/>
                <w:szCs w:val="18"/>
              </w:rPr>
              <w:t>返青期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5AC1E2BC">
            <w:pPr>
              <w:jc w:val="center"/>
              <w:rPr>
                <w:color w:val="000000"/>
                <w:sz w:val="18"/>
                <w:szCs w:val="18"/>
              </w:rPr>
            </w:pPr>
            <w:r>
              <w:rPr>
                <w:rFonts w:hint="eastAsia"/>
                <w:color w:val="000000"/>
                <w:sz w:val="18"/>
                <w:szCs w:val="18"/>
              </w:rPr>
              <w:t>田面水层</w:t>
            </w:r>
          </w:p>
          <w:p w14:paraId="5B242C59">
            <w:pPr>
              <w:jc w:val="center"/>
              <w:rPr>
                <w:color w:val="000000"/>
                <w:sz w:val="18"/>
                <w:szCs w:val="18"/>
              </w:rPr>
            </w:pPr>
            <w:r>
              <w:rPr>
                <w:color w:val="000000"/>
                <w:sz w:val="18"/>
                <w:szCs w:val="18"/>
              </w:rPr>
              <w:t>5 mm</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15C63B4F">
            <w:pPr>
              <w:jc w:val="center"/>
              <w:rPr>
                <w:color w:val="000000"/>
                <w:sz w:val="18"/>
                <w:szCs w:val="18"/>
              </w:rPr>
            </w:pPr>
            <w:r>
              <w:rPr>
                <w:rFonts w:hint="eastAsia"/>
                <w:color w:val="000000"/>
                <w:sz w:val="18"/>
                <w:szCs w:val="18"/>
              </w:rPr>
              <w:t>田面水层</w:t>
            </w:r>
          </w:p>
          <w:p w14:paraId="70DE0B88">
            <w:pPr>
              <w:jc w:val="center"/>
              <w:rPr>
                <w:color w:val="000000"/>
                <w:sz w:val="18"/>
                <w:szCs w:val="18"/>
              </w:rPr>
            </w:pPr>
            <w:r>
              <w:rPr>
                <w:color w:val="000000"/>
                <w:sz w:val="18"/>
                <w:szCs w:val="18"/>
              </w:rPr>
              <w:t>20</w:t>
            </w:r>
            <w:r>
              <w:rPr>
                <w:rFonts w:hint="eastAsia"/>
                <w:color w:val="000000"/>
                <w:kern w:val="0"/>
                <w:sz w:val="18"/>
                <w:szCs w:val="18"/>
              </w:rPr>
              <w:t>～</w:t>
            </w:r>
            <w:r>
              <w:rPr>
                <w:color w:val="000000"/>
                <w:sz w:val="18"/>
                <w:szCs w:val="18"/>
              </w:rPr>
              <w:t>40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116D4556">
            <w:pPr>
              <w:jc w:val="center"/>
              <w:rPr>
                <w:color w:val="000000"/>
                <w:sz w:val="18"/>
                <w:szCs w:val="18"/>
              </w:rPr>
            </w:pPr>
            <w:r>
              <w:rPr>
                <w:color w:val="000000"/>
                <w:sz w:val="18"/>
                <w:szCs w:val="18"/>
              </w:rPr>
              <w:t>10</w:t>
            </w:r>
            <w:r>
              <w:rPr>
                <w:rFonts w:hint="eastAsia"/>
                <w:color w:val="000000"/>
                <w:kern w:val="0"/>
                <w:sz w:val="18"/>
                <w:szCs w:val="18"/>
              </w:rPr>
              <w:t>～</w:t>
            </w:r>
            <w:r>
              <w:rPr>
                <w:rFonts w:hint="eastAsia"/>
                <w:color w:val="000000"/>
                <w:sz w:val="18"/>
                <w:szCs w:val="18"/>
              </w:rPr>
              <w:t>2</w:t>
            </w:r>
            <w:r>
              <w:rPr>
                <w:color w:val="000000"/>
                <w:sz w:val="18"/>
                <w:szCs w:val="18"/>
              </w:rPr>
              <w:t>3</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809C17F">
            <w:pPr>
              <w:jc w:val="center"/>
              <w:rPr>
                <w:color w:val="000000"/>
                <w:sz w:val="18"/>
                <w:szCs w:val="18"/>
              </w:rPr>
            </w:pPr>
            <w:r>
              <w:rPr>
                <w:rFonts w:hint="eastAsia"/>
                <w:color w:val="000000"/>
                <w:sz w:val="18"/>
                <w:szCs w:val="18"/>
              </w:rPr>
              <w:t>2</w:t>
            </w:r>
            <w:r>
              <w:rPr>
                <w:rFonts w:hint="eastAsia"/>
                <w:color w:val="000000"/>
                <w:kern w:val="0"/>
                <w:sz w:val="18"/>
                <w:szCs w:val="18"/>
              </w:rPr>
              <w:t>～</w:t>
            </w:r>
            <w:r>
              <w:rPr>
                <w:rFonts w:hint="eastAsia"/>
                <w:color w:val="000000"/>
                <w:sz w:val="18"/>
                <w:szCs w:val="18"/>
              </w:rPr>
              <w:t>4</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1950E308">
            <w:pPr>
              <w:jc w:val="center"/>
              <w:rPr>
                <w:color w:val="000000"/>
                <w:sz w:val="18"/>
                <w:szCs w:val="18"/>
              </w:rPr>
            </w:pPr>
            <w:r>
              <w:rPr>
                <w:rFonts w:hint="eastAsia"/>
                <w:color w:val="000000"/>
                <w:sz w:val="18"/>
                <w:szCs w:val="18"/>
              </w:rPr>
              <w:t>3</w:t>
            </w:r>
            <w:r>
              <w:rPr>
                <w:rFonts w:hint="eastAsia"/>
                <w:color w:val="000000"/>
                <w:kern w:val="0"/>
                <w:sz w:val="18"/>
                <w:szCs w:val="18"/>
              </w:rPr>
              <w:t>～</w:t>
            </w:r>
            <w:r>
              <w:rPr>
                <w:rFonts w:hint="eastAsia"/>
                <w:color w:val="000000"/>
                <w:sz w:val="18"/>
                <w:szCs w:val="18"/>
              </w:rPr>
              <w:t>5</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4F225EBB">
            <w:pPr>
              <w:jc w:val="center"/>
              <w:rPr>
                <w:color w:val="000000"/>
                <w:sz w:val="18"/>
                <w:szCs w:val="18"/>
              </w:rPr>
            </w:pPr>
            <w:r>
              <w:rPr>
                <w:rFonts w:hint="eastAsia"/>
                <w:color w:val="000000"/>
                <w:sz w:val="18"/>
                <w:szCs w:val="18"/>
              </w:rPr>
              <w:t>4</w:t>
            </w:r>
            <w:r>
              <w:rPr>
                <w:rFonts w:hint="eastAsia"/>
                <w:color w:val="000000"/>
                <w:kern w:val="0"/>
                <w:sz w:val="18"/>
                <w:szCs w:val="18"/>
              </w:rPr>
              <w:t>～</w:t>
            </w:r>
            <w:r>
              <w:rPr>
                <w:rFonts w:hint="eastAsia"/>
                <w:color w:val="000000"/>
                <w:sz w:val="18"/>
                <w:szCs w:val="18"/>
              </w:rPr>
              <w:t>6</w:t>
            </w:r>
          </w:p>
        </w:tc>
      </w:tr>
      <w:tr w14:paraId="709F9605">
        <w:tblPrEx>
          <w:tblCellMar>
            <w:top w:w="0" w:type="dxa"/>
            <w:left w:w="108" w:type="dxa"/>
            <w:bottom w:w="0" w:type="dxa"/>
            <w:right w:w="108" w:type="dxa"/>
          </w:tblCellMar>
        </w:tblPrEx>
        <w:trPr>
          <w:trHeight w:val="473" w:hRule="atLeast"/>
          <w:jc w:val="center"/>
        </w:trPr>
        <w:tc>
          <w:tcPr>
            <w:tcW w:w="534" w:type="dxa"/>
            <w:vMerge w:val="continue"/>
            <w:tcBorders>
              <w:left w:val="single" w:color="auto" w:sz="4" w:space="0"/>
              <w:right w:val="single" w:color="auto" w:sz="4" w:space="0"/>
            </w:tcBorders>
            <w:shd w:val="clear" w:color="auto" w:fill="auto"/>
            <w:vAlign w:val="center"/>
          </w:tcPr>
          <w:p w14:paraId="2DD2AADA">
            <w:pPr>
              <w:jc w:val="center"/>
              <w:rPr>
                <w:color w:val="000000"/>
                <w:sz w:val="18"/>
                <w:szCs w:val="18"/>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5F1423E">
            <w:pPr>
              <w:jc w:val="center"/>
              <w:rPr>
                <w:color w:val="000000"/>
                <w:sz w:val="18"/>
                <w:szCs w:val="18"/>
              </w:rPr>
            </w:pPr>
            <w:r>
              <w:rPr>
                <w:rFonts w:hint="eastAsia"/>
                <w:color w:val="000000"/>
                <w:sz w:val="18"/>
                <w:szCs w:val="18"/>
              </w:rPr>
              <w:t>湿/旱直播稻</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1386FE39">
            <w:pPr>
              <w:jc w:val="center"/>
              <w:rPr>
                <w:color w:val="000000"/>
                <w:sz w:val="18"/>
                <w:szCs w:val="18"/>
              </w:rPr>
            </w:pPr>
            <w:r>
              <w:rPr>
                <w:rFonts w:hint="eastAsia"/>
                <w:color w:val="000000"/>
                <w:sz w:val="18"/>
                <w:szCs w:val="18"/>
              </w:rPr>
              <w:t>播种至三叶期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3CD37EF0">
            <w:pPr>
              <w:jc w:val="center"/>
              <w:rPr>
                <w:color w:val="000000"/>
                <w:sz w:val="18"/>
                <w:szCs w:val="18"/>
              </w:rPr>
            </w:pPr>
            <w:r>
              <w:rPr>
                <w:rFonts w:hint="eastAsia"/>
                <w:color w:val="000000"/>
                <w:kern w:val="0"/>
                <w:sz w:val="18"/>
                <w:szCs w:val="18"/>
              </w:rPr>
              <w:t>表土微干</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18B999CD">
            <w:pPr>
              <w:jc w:val="center"/>
              <w:rPr>
                <w:color w:val="000000"/>
                <w:sz w:val="18"/>
                <w:szCs w:val="18"/>
              </w:rPr>
            </w:pPr>
            <w:r>
              <w:rPr>
                <w:rFonts w:hint="eastAsia"/>
                <w:color w:val="000000"/>
                <w:sz w:val="18"/>
                <w:szCs w:val="18"/>
              </w:rPr>
              <w:t>田面无水层</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234E146F">
            <w:pPr>
              <w:jc w:val="center"/>
              <w:rPr>
                <w:color w:val="000000"/>
                <w:sz w:val="18"/>
                <w:szCs w:val="18"/>
              </w:rPr>
            </w:pPr>
            <w:r>
              <w:rPr>
                <w:rFonts w:hint="eastAsia"/>
                <w:color w:val="000000"/>
                <w:sz w:val="18"/>
                <w:szCs w:val="18"/>
              </w:rPr>
              <w:t>8</w:t>
            </w:r>
            <w:r>
              <w:rPr>
                <w:rFonts w:hint="eastAsia"/>
                <w:color w:val="000000"/>
                <w:kern w:val="0"/>
                <w:sz w:val="18"/>
                <w:szCs w:val="18"/>
              </w:rPr>
              <w:t>～</w:t>
            </w:r>
            <w:r>
              <w:rPr>
                <w:rFonts w:hint="eastAsia"/>
                <w:color w:val="000000"/>
                <w:sz w:val="18"/>
                <w:szCs w:val="18"/>
              </w:rPr>
              <w:t>10</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5729A54">
            <w:pPr>
              <w:jc w:val="center"/>
              <w:rPr>
                <w:color w:val="000000"/>
                <w:sz w:val="18"/>
                <w:szCs w:val="18"/>
              </w:rPr>
            </w:pPr>
            <w:r>
              <w:rPr>
                <w:rFonts w:hint="eastAsia"/>
                <w:color w:val="000000"/>
                <w:sz w:val="18"/>
                <w:szCs w:val="18"/>
              </w:rPr>
              <w:t>2</w:t>
            </w:r>
            <w:r>
              <w:rPr>
                <w:rFonts w:hint="eastAsia"/>
                <w:color w:val="000000"/>
                <w:kern w:val="0"/>
                <w:sz w:val="18"/>
                <w:szCs w:val="18"/>
              </w:rPr>
              <w:t>～</w:t>
            </w:r>
            <w:r>
              <w:rPr>
                <w:rFonts w:hint="eastAsia"/>
                <w:color w:val="000000"/>
                <w:sz w:val="18"/>
                <w:szCs w:val="18"/>
              </w:rPr>
              <w:t>3</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18973E3E">
            <w:pPr>
              <w:jc w:val="center"/>
              <w:rPr>
                <w:color w:val="000000"/>
                <w:sz w:val="18"/>
                <w:szCs w:val="18"/>
              </w:rPr>
            </w:pPr>
            <w:r>
              <w:rPr>
                <w:rFonts w:hint="eastAsia"/>
                <w:color w:val="000000"/>
                <w:sz w:val="18"/>
                <w:szCs w:val="18"/>
              </w:rPr>
              <w:t>2</w:t>
            </w:r>
            <w:r>
              <w:rPr>
                <w:rFonts w:hint="eastAsia"/>
                <w:color w:val="000000"/>
                <w:kern w:val="0"/>
                <w:sz w:val="18"/>
                <w:szCs w:val="18"/>
              </w:rPr>
              <w:t>～</w:t>
            </w:r>
            <w:r>
              <w:rPr>
                <w:rFonts w:hint="eastAsia"/>
                <w:color w:val="000000"/>
                <w:sz w:val="18"/>
                <w:szCs w:val="18"/>
              </w:rPr>
              <w:t>4</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7D3B8D10">
            <w:pPr>
              <w:jc w:val="center"/>
              <w:rPr>
                <w:color w:val="000000"/>
                <w:sz w:val="18"/>
                <w:szCs w:val="18"/>
              </w:rPr>
            </w:pPr>
            <w:r>
              <w:rPr>
                <w:rFonts w:hint="eastAsia"/>
                <w:color w:val="000000"/>
                <w:sz w:val="18"/>
                <w:szCs w:val="18"/>
              </w:rPr>
              <w:t>3</w:t>
            </w:r>
            <w:r>
              <w:rPr>
                <w:rFonts w:hint="eastAsia"/>
                <w:color w:val="000000"/>
                <w:kern w:val="0"/>
                <w:sz w:val="18"/>
                <w:szCs w:val="18"/>
              </w:rPr>
              <w:t>～</w:t>
            </w:r>
            <w:r>
              <w:rPr>
                <w:rFonts w:hint="eastAsia"/>
                <w:color w:val="000000"/>
                <w:sz w:val="18"/>
                <w:szCs w:val="18"/>
              </w:rPr>
              <w:t>5</w:t>
            </w:r>
          </w:p>
        </w:tc>
      </w:tr>
      <w:tr w14:paraId="1164E258">
        <w:tblPrEx>
          <w:tblCellMar>
            <w:top w:w="0" w:type="dxa"/>
            <w:left w:w="108" w:type="dxa"/>
            <w:bottom w:w="0" w:type="dxa"/>
            <w:right w:w="108" w:type="dxa"/>
          </w:tblCellMar>
        </w:tblPrEx>
        <w:trPr>
          <w:trHeight w:val="473" w:hRule="atLeast"/>
          <w:jc w:val="center"/>
        </w:trPr>
        <w:tc>
          <w:tcPr>
            <w:tcW w:w="534" w:type="dxa"/>
            <w:vMerge w:val="continue"/>
            <w:tcBorders>
              <w:left w:val="single" w:color="auto" w:sz="4" w:space="0"/>
              <w:right w:val="single" w:color="auto" w:sz="4" w:space="0"/>
            </w:tcBorders>
            <w:shd w:val="clear" w:color="auto" w:fill="auto"/>
            <w:vAlign w:val="center"/>
          </w:tcPr>
          <w:p w14:paraId="354B3DB8">
            <w:pPr>
              <w:jc w:val="center"/>
              <w:rPr>
                <w:color w:val="000000"/>
                <w:sz w:val="18"/>
                <w:szCs w:val="18"/>
              </w:rPr>
            </w:pPr>
          </w:p>
        </w:tc>
        <w:tc>
          <w:tcPr>
            <w:tcW w:w="992" w:type="dxa"/>
            <w:vMerge w:val="restart"/>
            <w:tcBorders>
              <w:top w:val="single" w:color="auto" w:sz="4" w:space="0"/>
              <w:left w:val="single" w:color="auto" w:sz="4" w:space="0"/>
              <w:right w:val="single" w:color="auto" w:sz="4" w:space="0"/>
            </w:tcBorders>
            <w:shd w:val="clear" w:color="auto" w:fill="auto"/>
            <w:vAlign w:val="center"/>
          </w:tcPr>
          <w:p w14:paraId="228B9815">
            <w:pPr>
              <w:jc w:val="center"/>
              <w:rPr>
                <w:color w:val="000000"/>
                <w:sz w:val="18"/>
                <w:szCs w:val="18"/>
              </w:rPr>
            </w:pPr>
            <w:r>
              <w:rPr>
                <w:rFonts w:hint="eastAsia"/>
                <w:color w:val="000000"/>
                <w:sz w:val="18"/>
                <w:szCs w:val="18"/>
              </w:rPr>
              <w:t>移栽稻/旱直播稻/湿直播稻</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6056281B">
            <w:pPr>
              <w:jc w:val="center"/>
              <w:rPr>
                <w:color w:val="000000"/>
                <w:sz w:val="18"/>
                <w:szCs w:val="18"/>
              </w:rPr>
            </w:pPr>
            <w:r>
              <w:rPr>
                <w:rFonts w:hint="eastAsia"/>
                <w:color w:val="000000"/>
                <w:sz w:val="18"/>
                <w:szCs w:val="18"/>
              </w:rPr>
              <w:t>分蘖期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644D82C7">
            <w:pPr>
              <w:jc w:val="center"/>
              <w:rPr>
                <w:color w:val="000000"/>
                <w:sz w:val="18"/>
                <w:szCs w:val="18"/>
              </w:rPr>
            </w:pPr>
            <w:r>
              <w:rPr>
                <w:rFonts w:hint="eastAsia"/>
                <w:color w:val="000000"/>
                <w:kern w:val="0"/>
                <w:sz w:val="18"/>
                <w:szCs w:val="18"/>
              </w:rPr>
              <w:t>表土发硬，田边发白</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0C9EE683">
            <w:pPr>
              <w:jc w:val="center"/>
              <w:rPr>
                <w:color w:val="000000"/>
                <w:sz w:val="18"/>
                <w:szCs w:val="18"/>
              </w:rPr>
            </w:pPr>
            <w:r>
              <w:rPr>
                <w:rFonts w:hint="eastAsia"/>
                <w:color w:val="000000"/>
                <w:sz w:val="18"/>
                <w:szCs w:val="18"/>
              </w:rPr>
              <w:t>田面水层</w:t>
            </w:r>
          </w:p>
          <w:p w14:paraId="46FDD760">
            <w:pPr>
              <w:jc w:val="center"/>
              <w:rPr>
                <w:color w:val="000000"/>
                <w:sz w:val="18"/>
                <w:szCs w:val="18"/>
              </w:rPr>
            </w:pPr>
            <w:r>
              <w:rPr>
                <w:color w:val="000000"/>
                <w:sz w:val="18"/>
                <w:szCs w:val="18"/>
              </w:rPr>
              <w:t>20</w:t>
            </w:r>
            <w:r>
              <w:rPr>
                <w:rFonts w:hint="eastAsia"/>
                <w:color w:val="000000"/>
                <w:kern w:val="0"/>
                <w:sz w:val="18"/>
                <w:szCs w:val="18"/>
              </w:rPr>
              <w:t>～</w:t>
            </w:r>
            <w:r>
              <w:rPr>
                <w:color w:val="000000"/>
                <w:sz w:val="18"/>
                <w:szCs w:val="18"/>
              </w:rPr>
              <w:t>40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133C6907">
            <w:pPr>
              <w:jc w:val="center"/>
              <w:rPr>
                <w:color w:val="000000"/>
                <w:sz w:val="18"/>
                <w:szCs w:val="18"/>
              </w:rPr>
            </w:pPr>
            <w:r>
              <w:rPr>
                <w:color w:val="000000"/>
                <w:sz w:val="18"/>
                <w:szCs w:val="18"/>
              </w:rPr>
              <w:t>22</w:t>
            </w:r>
            <w:r>
              <w:rPr>
                <w:rFonts w:hint="eastAsia"/>
                <w:color w:val="000000"/>
                <w:kern w:val="0"/>
                <w:sz w:val="18"/>
                <w:szCs w:val="18"/>
              </w:rPr>
              <w:t>～</w:t>
            </w:r>
            <w:r>
              <w:rPr>
                <w:color w:val="000000"/>
                <w:sz w:val="18"/>
                <w:szCs w:val="18"/>
              </w:rPr>
              <w:t>43</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F95DB48">
            <w:pPr>
              <w:jc w:val="center"/>
              <w:rPr>
                <w:color w:val="000000"/>
                <w:sz w:val="18"/>
                <w:szCs w:val="18"/>
              </w:rPr>
            </w:pPr>
            <w:r>
              <w:rPr>
                <w:rFonts w:hint="eastAsia"/>
                <w:color w:val="000000"/>
                <w:sz w:val="18"/>
                <w:szCs w:val="18"/>
              </w:rPr>
              <w:t>5</w:t>
            </w:r>
            <w:r>
              <w:rPr>
                <w:rFonts w:hint="eastAsia"/>
                <w:color w:val="000000"/>
                <w:kern w:val="0"/>
                <w:sz w:val="18"/>
                <w:szCs w:val="18"/>
              </w:rPr>
              <w:t>～</w:t>
            </w:r>
            <w:r>
              <w:rPr>
                <w:rFonts w:hint="eastAsia"/>
                <w:color w:val="000000"/>
                <w:sz w:val="18"/>
                <w:szCs w:val="18"/>
              </w:rPr>
              <w:t>7</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030A134E">
            <w:pPr>
              <w:jc w:val="center"/>
              <w:rPr>
                <w:color w:val="000000"/>
                <w:sz w:val="18"/>
                <w:szCs w:val="18"/>
              </w:rPr>
            </w:pPr>
            <w:r>
              <w:rPr>
                <w:rFonts w:hint="eastAsia"/>
                <w:color w:val="000000"/>
                <w:sz w:val="18"/>
                <w:szCs w:val="18"/>
              </w:rPr>
              <w:t>6</w:t>
            </w:r>
            <w:r>
              <w:rPr>
                <w:rFonts w:hint="eastAsia"/>
                <w:color w:val="000000"/>
                <w:kern w:val="0"/>
                <w:sz w:val="18"/>
                <w:szCs w:val="18"/>
              </w:rPr>
              <w:t>～</w:t>
            </w:r>
            <w:r>
              <w:rPr>
                <w:rFonts w:hint="eastAsia"/>
                <w:color w:val="000000"/>
                <w:sz w:val="18"/>
                <w:szCs w:val="18"/>
              </w:rPr>
              <w:t>8</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34934904">
            <w:pPr>
              <w:jc w:val="center"/>
              <w:rPr>
                <w:color w:val="000000"/>
                <w:sz w:val="18"/>
                <w:szCs w:val="18"/>
              </w:rPr>
            </w:pPr>
            <w:r>
              <w:rPr>
                <w:rFonts w:hint="eastAsia"/>
                <w:color w:val="000000"/>
                <w:sz w:val="18"/>
                <w:szCs w:val="18"/>
              </w:rPr>
              <w:t>7</w:t>
            </w:r>
            <w:r>
              <w:rPr>
                <w:rFonts w:hint="eastAsia"/>
                <w:color w:val="000000"/>
                <w:kern w:val="0"/>
                <w:sz w:val="18"/>
                <w:szCs w:val="18"/>
              </w:rPr>
              <w:t>～</w:t>
            </w:r>
            <w:r>
              <w:rPr>
                <w:rFonts w:hint="eastAsia"/>
                <w:color w:val="000000"/>
                <w:sz w:val="18"/>
                <w:szCs w:val="18"/>
              </w:rPr>
              <w:t>9</w:t>
            </w:r>
          </w:p>
        </w:tc>
      </w:tr>
      <w:tr w14:paraId="65A2305D">
        <w:tblPrEx>
          <w:tblCellMar>
            <w:top w:w="0" w:type="dxa"/>
            <w:left w:w="108" w:type="dxa"/>
            <w:bottom w:w="0" w:type="dxa"/>
            <w:right w:w="108" w:type="dxa"/>
          </w:tblCellMar>
        </w:tblPrEx>
        <w:trPr>
          <w:trHeight w:val="473" w:hRule="atLeast"/>
          <w:jc w:val="center"/>
        </w:trPr>
        <w:tc>
          <w:tcPr>
            <w:tcW w:w="534" w:type="dxa"/>
            <w:vMerge w:val="continue"/>
            <w:tcBorders>
              <w:left w:val="single" w:color="auto" w:sz="4" w:space="0"/>
              <w:right w:val="single" w:color="auto" w:sz="4" w:space="0"/>
            </w:tcBorders>
            <w:shd w:val="clear" w:color="auto" w:fill="auto"/>
            <w:vAlign w:val="center"/>
          </w:tcPr>
          <w:p w14:paraId="664C03D0">
            <w:pPr>
              <w:jc w:val="center"/>
              <w:rPr>
                <w:color w:val="000000"/>
                <w:sz w:val="18"/>
                <w:szCs w:val="18"/>
              </w:rPr>
            </w:pPr>
          </w:p>
        </w:tc>
        <w:tc>
          <w:tcPr>
            <w:tcW w:w="992" w:type="dxa"/>
            <w:vMerge w:val="continue"/>
            <w:tcBorders>
              <w:left w:val="single" w:color="auto" w:sz="4" w:space="0"/>
              <w:right w:val="single" w:color="auto" w:sz="4" w:space="0"/>
            </w:tcBorders>
            <w:shd w:val="clear" w:color="auto" w:fill="auto"/>
            <w:vAlign w:val="center"/>
          </w:tcPr>
          <w:p w14:paraId="0D3B2519">
            <w:pPr>
              <w:jc w:val="center"/>
              <w:rPr>
                <w:color w:val="000000"/>
                <w:sz w:val="18"/>
                <w:szCs w:val="18"/>
              </w:rPr>
            </w:pP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310ADE17">
            <w:pPr>
              <w:jc w:val="center"/>
              <w:rPr>
                <w:color w:val="000000"/>
                <w:sz w:val="18"/>
                <w:szCs w:val="18"/>
              </w:rPr>
            </w:pPr>
            <w:r>
              <w:rPr>
                <w:rFonts w:hint="eastAsia"/>
                <w:color w:val="000000"/>
                <w:sz w:val="18"/>
                <w:szCs w:val="18"/>
              </w:rPr>
              <w:t>分蘖盛期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08F6E011">
            <w:pPr>
              <w:jc w:val="center"/>
              <w:rPr>
                <w:color w:val="000000"/>
                <w:kern w:val="0"/>
                <w:sz w:val="18"/>
                <w:szCs w:val="18"/>
              </w:rPr>
            </w:pPr>
            <w:r>
              <w:rPr>
                <w:rFonts w:hint="eastAsia"/>
                <w:color w:val="000000"/>
                <w:kern w:val="0"/>
                <w:sz w:val="18"/>
                <w:szCs w:val="18"/>
              </w:rPr>
              <w:t>田边发白，裂缝&lt;0.3 cm</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01FE9923">
            <w:pPr>
              <w:jc w:val="center"/>
              <w:rPr>
                <w:color w:val="000000"/>
                <w:sz w:val="18"/>
                <w:szCs w:val="18"/>
              </w:rPr>
            </w:pPr>
            <w:r>
              <w:rPr>
                <w:rFonts w:hint="eastAsia"/>
                <w:color w:val="000000"/>
                <w:sz w:val="18"/>
                <w:szCs w:val="18"/>
              </w:rPr>
              <w:t>田面水层</w:t>
            </w:r>
          </w:p>
          <w:p w14:paraId="1F458698">
            <w:pPr>
              <w:jc w:val="center"/>
              <w:rPr>
                <w:color w:val="000000"/>
                <w:sz w:val="18"/>
                <w:szCs w:val="18"/>
              </w:rPr>
            </w:pPr>
            <w:r>
              <w:rPr>
                <w:color w:val="000000"/>
                <w:sz w:val="18"/>
                <w:szCs w:val="18"/>
              </w:rPr>
              <w:t>20</w:t>
            </w:r>
            <w:r>
              <w:rPr>
                <w:rFonts w:hint="eastAsia"/>
                <w:color w:val="000000"/>
                <w:kern w:val="0"/>
                <w:sz w:val="18"/>
                <w:szCs w:val="18"/>
              </w:rPr>
              <w:t>～</w:t>
            </w:r>
            <w:r>
              <w:rPr>
                <w:color w:val="000000"/>
                <w:sz w:val="18"/>
                <w:szCs w:val="18"/>
              </w:rPr>
              <w:t>40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49493582">
            <w:pPr>
              <w:jc w:val="center"/>
              <w:rPr>
                <w:color w:val="000000"/>
                <w:sz w:val="18"/>
                <w:szCs w:val="18"/>
              </w:rPr>
            </w:pPr>
            <w:r>
              <w:rPr>
                <w:rFonts w:hint="eastAsia"/>
                <w:color w:val="000000"/>
                <w:sz w:val="18"/>
                <w:szCs w:val="18"/>
              </w:rPr>
              <w:t>50</w:t>
            </w:r>
            <w:r>
              <w:rPr>
                <w:rFonts w:hint="eastAsia"/>
                <w:color w:val="000000"/>
                <w:kern w:val="0"/>
                <w:sz w:val="18"/>
                <w:szCs w:val="18"/>
              </w:rPr>
              <w:t>～</w:t>
            </w:r>
            <w:r>
              <w:rPr>
                <w:rFonts w:hint="eastAsia"/>
                <w:color w:val="000000"/>
                <w:sz w:val="18"/>
                <w:szCs w:val="18"/>
              </w:rPr>
              <w:t>70</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896A73A">
            <w:pPr>
              <w:jc w:val="center"/>
              <w:rPr>
                <w:color w:val="000000"/>
                <w:sz w:val="18"/>
                <w:szCs w:val="18"/>
              </w:rPr>
            </w:pPr>
            <w:r>
              <w:rPr>
                <w:rFonts w:hint="eastAsia"/>
                <w:color w:val="000000"/>
                <w:sz w:val="18"/>
                <w:szCs w:val="18"/>
              </w:rPr>
              <w:t>7</w:t>
            </w:r>
            <w:r>
              <w:rPr>
                <w:rFonts w:hint="eastAsia"/>
                <w:color w:val="000000"/>
                <w:kern w:val="0"/>
                <w:sz w:val="18"/>
                <w:szCs w:val="18"/>
              </w:rPr>
              <w:t>～</w:t>
            </w:r>
            <w:r>
              <w:rPr>
                <w:rFonts w:hint="eastAsia"/>
                <w:color w:val="000000"/>
                <w:sz w:val="18"/>
                <w:szCs w:val="18"/>
              </w:rPr>
              <w:t>9</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669A1E3B">
            <w:pPr>
              <w:jc w:val="center"/>
              <w:rPr>
                <w:color w:val="000000"/>
                <w:sz w:val="18"/>
                <w:szCs w:val="18"/>
              </w:rPr>
            </w:pPr>
            <w:r>
              <w:rPr>
                <w:rFonts w:hint="eastAsia"/>
                <w:color w:val="000000"/>
                <w:sz w:val="18"/>
                <w:szCs w:val="18"/>
              </w:rPr>
              <w:t>8</w:t>
            </w:r>
            <w:r>
              <w:rPr>
                <w:rFonts w:hint="eastAsia"/>
                <w:color w:val="000000"/>
                <w:kern w:val="0"/>
                <w:sz w:val="18"/>
                <w:szCs w:val="18"/>
              </w:rPr>
              <w:t>～</w:t>
            </w:r>
            <w:r>
              <w:rPr>
                <w:rFonts w:hint="eastAsia"/>
                <w:color w:val="000000"/>
                <w:sz w:val="18"/>
                <w:szCs w:val="18"/>
              </w:rPr>
              <w:t>10</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4186A62F">
            <w:pPr>
              <w:jc w:val="center"/>
              <w:rPr>
                <w:color w:val="000000"/>
                <w:sz w:val="18"/>
                <w:szCs w:val="18"/>
              </w:rPr>
            </w:pPr>
            <w:r>
              <w:rPr>
                <w:rFonts w:hint="eastAsia"/>
                <w:color w:val="000000"/>
                <w:sz w:val="18"/>
                <w:szCs w:val="18"/>
              </w:rPr>
              <w:t>9</w:t>
            </w:r>
            <w:r>
              <w:rPr>
                <w:rFonts w:hint="eastAsia"/>
                <w:color w:val="000000"/>
                <w:kern w:val="0"/>
                <w:sz w:val="18"/>
                <w:szCs w:val="18"/>
              </w:rPr>
              <w:t>～</w:t>
            </w:r>
            <w:r>
              <w:rPr>
                <w:rFonts w:hint="eastAsia"/>
                <w:color w:val="000000"/>
                <w:sz w:val="18"/>
                <w:szCs w:val="18"/>
              </w:rPr>
              <w:t>11</w:t>
            </w:r>
          </w:p>
        </w:tc>
      </w:tr>
      <w:tr w14:paraId="6DB8D36B">
        <w:tblPrEx>
          <w:tblCellMar>
            <w:top w:w="0" w:type="dxa"/>
            <w:left w:w="108" w:type="dxa"/>
            <w:bottom w:w="0" w:type="dxa"/>
            <w:right w:w="108" w:type="dxa"/>
          </w:tblCellMar>
        </w:tblPrEx>
        <w:trPr>
          <w:trHeight w:val="473" w:hRule="atLeast"/>
          <w:jc w:val="center"/>
        </w:trPr>
        <w:tc>
          <w:tcPr>
            <w:tcW w:w="534" w:type="dxa"/>
            <w:vMerge w:val="continue"/>
            <w:tcBorders>
              <w:left w:val="single" w:color="auto" w:sz="4" w:space="0"/>
              <w:right w:val="single" w:color="auto" w:sz="4" w:space="0"/>
            </w:tcBorders>
            <w:shd w:val="clear" w:color="auto" w:fill="auto"/>
            <w:vAlign w:val="center"/>
          </w:tcPr>
          <w:p w14:paraId="1A265114">
            <w:pPr>
              <w:jc w:val="center"/>
              <w:rPr>
                <w:color w:val="000000"/>
                <w:sz w:val="18"/>
                <w:szCs w:val="18"/>
              </w:rPr>
            </w:pPr>
          </w:p>
        </w:tc>
        <w:tc>
          <w:tcPr>
            <w:tcW w:w="992" w:type="dxa"/>
            <w:vMerge w:val="continue"/>
            <w:tcBorders>
              <w:left w:val="single" w:color="auto" w:sz="4" w:space="0"/>
              <w:right w:val="single" w:color="auto" w:sz="4" w:space="0"/>
            </w:tcBorders>
            <w:shd w:val="clear" w:color="auto" w:fill="auto"/>
            <w:vAlign w:val="center"/>
          </w:tcPr>
          <w:p w14:paraId="4B013851">
            <w:pPr>
              <w:rPr>
                <w:color w:val="000000"/>
                <w:sz w:val="18"/>
                <w:szCs w:val="18"/>
              </w:rPr>
            </w:pP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08DA6348">
            <w:pPr>
              <w:jc w:val="center"/>
              <w:rPr>
                <w:color w:val="000000"/>
                <w:sz w:val="18"/>
                <w:szCs w:val="18"/>
              </w:rPr>
            </w:pPr>
            <w:r>
              <w:rPr>
                <w:rFonts w:hint="eastAsia"/>
                <w:color w:val="000000"/>
                <w:sz w:val="18"/>
                <w:szCs w:val="18"/>
              </w:rPr>
              <w:t>拔节期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3D1F6B31">
            <w:pPr>
              <w:jc w:val="center"/>
              <w:rPr>
                <w:color w:val="000000"/>
                <w:kern w:val="0"/>
                <w:sz w:val="18"/>
                <w:szCs w:val="18"/>
              </w:rPr>
            </w:pPr>
            <w:r>
              <w:rPr>
                <w:rFonts w:hint="eastAsia"/>
                <w:color w:val="000000"/>
                <w:kern w:val="0"/>
                <w:sz w:val="18"/>
                <w:szCs w:val="18"/>
              </w:rPr>
              <w:t>表土发硬，田边发白</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79600CD1">
            <w:pPr>
              <w:jc w:val="center"/>
              <w:rPr>
                <w:color w:val="000000"/>
                <w:sz w:val="18"/>
                <w:szCs w:val="18"/>
              </w:rPr>
            </w:pPr>
            <w:r>
              <w:rPr>
                <w:rFonts w:hint="eastAsia"/>
                <w:color w:val="000000"/>
                <w:sz w:val="18"/>
                <w:szCs w:val="18"/>
              </w:rPr>
              <w:t>田面水层</w:t>
            </w:r>
          </w:p>
          <w:p w14:paraId="74D89BD8">
            <w:pPr>
              <w:jc w:val="center"/>
              <w:rPr>
                <w:color w:val="000000"/>
                <w:sz w:val="18"/>
                <w:szCs w:val="18"/>
              </w:rPr>
            </w:pPr>
            <w:r>
              <w:rPr>
                <w:color w:val="000000"/>
                <w:sz w:val="18"/>
                <w:szCs w:val="18"/>
              </w:rPr>
              <w:t>20</w:t>
            </w:r>
            <w:r>
              <w:rPr>
                <w:rFonts w:hint="eastAsia"/>
                <w:color w:val="000000"/>
                <w:kern w:val="0"/>
                <w:sz w:val="18"/>
                <w:szCs w:val="18"/>
              </w:rPr>
              <w:t>～</w:t>
            </w:r>
            <w:r>
              <w:rPr>
                <w:color w:val="000000"/>
                <w:sz w:val="18"/>
                <w:szCs w:val="18"/>
              </w:rPr>
              <w:t>40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34DF994B">
            <w:pPr>
              <w:jc w:val="center"/>
              <w:rPr>
                <w:color w:val="000000"/>
                <w:sz w:val="18"/>
                <w:szCs w:val="18"/>
              </w:rPr>
            </w:pPr>
            <w:r>
              <w:rPr>
                <w:color w:val="000000"/>
                <w:sz w:val="18"/>
                <w:szCs w:val="18"/>
              </w:rPr>
              <w:t>22</w:t>
            </w:r>
            <w:r>
              <w:rPr>
                <w:rFonts w:hint="eastAsia"/>
                <w:color w:val="000000"/>
                <w:kern w:val="0"/>
                <w:sz w:val="18"/>
                <w:szCs w:val="18"/>
              </w:rPr>
              <w:t>～</w:t>
            </w:r>
            <w:r>
              <w:rPr>
                <w:color w:val="000000"/>
                <w:sz w:val="18"/>
                <w:szCs w:val="18"/>
              </w:rPr>
              <w:t>43</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1089469">
            <w:pPr>
              <w:jc w:val="center"/>
              <w:rPr>
                <w:color w:val="000000"/>
                <w:sz w:val="18"/>
                <w:szCs w:val="18"/>
              </w:rPr>
            </w:pPr>
            <w:r>
              <w:rPr>
                <w:rFonts w:hint="eastAsia"/>
                <w:color w:val="000000"/>
                <w:sz w:val="18"/>
                <w:szCs w:val="18"/>
              </w:rPr>
              <w:t>5</w:t>
            </w:r>
            <w:r>
              <w:rPr>
                <w:rFonts w:hint="eastAsia"/>
                <w:color w:val="000000"/>
                <w:kern w:val="0"/>
                <w:sz w:val="18"/>
                <w:szCs w:val="18"/>
              </w:rPr>
              <w:t>～</w:t>
            </w:r>
            <w:r>
              <w:rPr>
                <w:rFonts w:hint="eastAsia"/>
                <w:color w:val="000000"/>
                <w:sz w:val="18"/>
                <w:szCs w:val="18"/>
              </w:rPr>
              <w:t>7</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41324288">
            <w:pPr>
              <w:jc w:val="center"/>
              <w:rPr>
                <w:color w:val="000000"/>
                <w:sz w:val="18"/>
                <w:szCs w:val="18"/>
              </w:rPr>
            </w:pPr>
            <w:r>
              <w:rPr>
                <w:rFonts w:hint="eastAsia"/>
                <w:color w:val="000000"/>
                <w:sz w:val="18"/>
                <w:szCs w:val="18"/>
              </w:rPr>
              <w:t>6</w:t>
            </w:r>
            <w:r>
              <w:rPr>
                <w:rFonts w:hint="eastAsia"/>
                <w:color w:val="000000"/>
                <w:kern w:val="0"/>
                <w:sz w:val="18"/>
                <w:szCs w:val="18"/>
              </w:rPr>
              <w:t>～</w:t>
            </w:r>
            <w:r>
              <w:rPr>
                <w:rFonts w:hint="eastAsia"/>
                <w:color w:val="000000"/>
                <w:sz w:val="18"/>
                <w:szCs w:val="18"/>
              </w:rPr>
              <w:t>8</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402F32B3">
            <w:pPr>
              <w:jc w:val="center"/>
              <w:rPr>
                <w:color w:val="000000"/>
                <w:sz w:val="18"/>
                <w:szCs w:val="18"/>
              </w:rPr>
            </w:pPr>
            <w:r>
              <w:rPr>
                <w:rFonts w:hint="eastAsia"/>
                <w:color w:val="000000"/>
                <w:sz w:val="18"/>
                <w:szCs w:val="18"/>
              </w:rPr>
              <w:t>7</w:t>
            </w:r>
            <w:r>
              <w:rPr>
                <w:rFonts w:hint="eastAsia"/>
                <w:color w:val="000000"/>
                <w:kern w:val="0"/>
                <w:sz w:val="18"/>
                <w:szCs w:val="18"/>
              </w:rPr>
              <w:t>～</w:t>
            </w:r>
            <w:r>
              <w:rPr>
                <w:rFonts w:hint="eastAsia"/>
                <w:color w:val="000000"/>
                <w:sz w:val="18"/>
                <w:szCs w:val="18"/>
              </w:rPr>
              <w:t>9</w:t>
            </w:r>
          </w:p>
        </w:tc>
      </w:tr>
      <w:tr w14:paraId="36DAFF40">
        <w:tblPrEx>
          <w:tblCellMar>
            <w:top w:w="0" w:type="dxa"/>
            <w:left w:w="108" w:type="dxa"/>
            <w:bottom w:w="0" w:type="dxa"/>
            <w:right w:w="108" w:type="dxa"/>
          </w:tblCellMar>
        </w:tblPrEx>
        <w:trPr>
          <w:trHeight w:val="473" w:hRule="atLeast"/>
          <w:jc w:val="center"/>
        </w:trPr>
        <w:tc>
          <w:tcPr>
            <w:tcW w:w="534" w:type="dxa"/>
            <w:vMerge w:val="continue"/>
            <w:tcBorders>
              <w:left w:val="single" w:color="auto" w:sz="4" w:space="0"/>
              <w:bottom w:val="single" w:color="auto" w:sz="4" w:space="0"/>
              <w:right w:val="single" w:color="auto" w:sz="4" w:space="0"/>
            </w:tcBorders>
            <w:shd w:val="clear" w:color="auto" w:fill="auto"/>
            <w:vAlign w:val="center"/>
          </w:tcPr>
          <w:p w14:paraId="66939A44">
            <w:pPr>
              <w:jc w:val="center"/>
              <w:rPr>
                <w:color w:val="000000"/>
                <w:sz w:val="18"/>
                <w:szCs w:val="18"/>
              </w:rPr>
            </w:pPr>
          </w:p>
        </w:tc>
        <w:tc>
          <w:tcPr>
            <w:tcW w:w="992" w:type="dxa"/>
            <w:vMerge w:val="continue"/>
            <w:tcBorders>
              <w:left w:val="single" w:color="auto" w:sz="4" w:space="0"/>
              <w:bottom w:val="single" w:color="auto" w:sz="4" w:space="0"/>
              <w:right w:val="single" w:color="auto" w:sz="4" w:space="0"/>
            </w:tcBorders>
            <w:shd w:val="clear" w:color="auto" w:fill="auto"/>
            <w:vAlign w:val="center"/>
          </w:tcPr>
          <w:p w14:paraId="47922035">
            <w:pPr>
              <w:rPr>
                <w:color w:val="000000"/>
                <w:sz w:val="18"/>
                <w:szCs w:val="18"/>
              </w:rPr>
            </w:pP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BEA749C">
            <w:pPr>
              <w:jc w:val="center"/>
              <w:rPr>
                <w:color w:val="000000"/>
                <w:sz w:val="18"/>
                <w:szCs w:val="18"/>
              </w:rPr>
            </w:pPr>
            <w:r>
              <w:rPr>
                <w:rFonts w:hint="eastAsia"/>
                <w:color w:val="000000"/>
                <w:sz w:val="18"/>
                <w:szCs w:val="18"/>
              </w:rPr>
              <w:t>孕穗期至灌浆期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7C8858F6">
            <w:pPr>
              <w:jc w:val="center"/>
              <w:rPr>
                <w:color w:val="000000"/>
                <w:kern w:val="0"/>
                <w:sz w:val="18"/>
                <w:szCs w:val="18"/>
              </w:rPr>
            </w:pPr>
            <w:r>
              <w:rPr>
                <w:rFonts w:hint="eastAsia"/>
                <w:color w:val="000000"/>
                <w:kern w:val="0"/>
                <w:sz w:val="18"/>
                <w:szCs w:val="18"/>
              </w:rPr>
              <w:t>田边表土发白，有细裂缝</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15C9E2D6">
            <w:pPr>
              <w:jc w:val="center"/>
              <w:rPr>
                <w:color w:val="000000"/>
                <w:sz w:val="18"/>
                <w:szCs w:val="18"/>
              </w:rPr>
            </w:pPr>
            <w:r>
              <w:rPr>
                <w:rFonts w:hint="eastAsia"/>
                <w:color w:val="000000"/>
                <w:sz w:val="18"/>
                <w:szCs w:val="18"/>
              </w:rPr>
              <w:t>田面水层</w:t>
            </w:r>
          </w:p>
          <w:p w14:paraId="7D0FDCD1">
            <w:pPr>
              <w:jc w:val="center"/>
              <w:rPr>
                <w:color w:val="000000"/>
                <w:sz w:val="18"/>
                <w:szCs w:val="18"/>
              </w:rPr>
            </w:pPr>
            <w:r>
              <w:rPr>
                <w:rFonts w:hint="eastAsia"/>
                <w:color w:val="000000"/>
                <w:sz w:val="18"/>
                <w:szCs w:val="18"/>
              </w:rPr>
              <w:t>40</w:t>
            </w:r>
            <w:r>
              <w:rPr>
                <w:rFonts w:hint="eastAsia"/>
                <w:color w:val="000000"/>
                <w:kern w:val="0"/>
                <w:sz w:val="18"/>
                <w:szCs w:val="18"/>
              </w:rPr>
              <w:t>～</w:t>
            </w:r>
            <w:r>
              <w:rPr>
                <w:rFonts w:hint="eastAsia"/>
                <w:color w:val="000000"/>
                <w:sz w:val="18"/>
                <w:szCs w:val="18"/>
              </w:rPr>
              <w:t>60</w:t>
            </w:r>
            <w:r>
              <w:rPr>
                <w:color w:val="000000"/>
                <w:sz w:val="18"/>
                <w:szCs w:val="18"/>
              </w:rPr>
              <w:t xml:space="preserve"> mm</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64973D27">
            <w:pPr>
              <w:jc w:val="center"/>
              <w:rPr>
                <w:color w:val="000000"/>
                <w:sz w:val="18"/>
                <w:szCs w:val="18"/>
              </w:rPr>
            </w:pPr>
            <w:r>
              <w:rPr>
                <w:rFonts w:hint="eastAsia"/>
                <w:color w:val="000000"/>
                <w:sz w:val="18"/>
                <w:szCs w:val="18"/>
              </w:rPr>
              <w:t>43</w:t>
            </w:r>
            <w:r>
              <w:rPr>
                <w:rFonts w:hint="eastAsia"/>
                <w:color w:val="000000"/>
                <w:kern w:val="0"/>
                <w:sz w:val="18"/>
                <w:szCs w:val="18"/>
              </w:rPr>
              <w:t>～</w:t>
            </w:r>
            <w:r>
              <w:rPr>
                <w:rFonts w:hint="eastAsia"/>
                <w:color w:val="000000"/>
                <w:sz w:val="18"/>
                <w:szCs w:val="18"/>
              </w:rPr>
              <w:t>70</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911EB7E">
            <w:pPr>
              <w:jc w:val="center"/>
              <w:rPr>
                <w:color w:val="000000"/>
                <w:sz w:val="18"/>
                <w:szCs w:val="18"/>
              </w:rPr>
            </w:pPr>
            <w:r>
              <w:rPr>
                <w:rFonts w:hint="eastAsia"/>
                <w:color w:val="000000"/>
                <w:sz w:val="18"/>
                <w:szCs w:val="18"/>
              </w:rPr>
              <w:t>9</w:t>
            </w:r>
            <w:r>
              <w:rPr>
                <w:rFonts w:hint="eastAsia"/>
                <w:color w:val="000000"/>
                <w:kern w:val="0"/>
                <w:sz w:val="18"/>
                <w:szCs w:val="18"/>
              </w:rPr>
              <w:t>～</w:t>
            </w:r>
            <w:r>
              <w:rPr>
                <w:rFonts w:hint="eastAsia"/>
                <w:color w:val="000000"/>
                <w:sz w:val="18"/>
                <w:szCs w:val="18"/>
              </w:rPr>
              <w:t>11</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5F8410F2">
            <w:pPr>
              <w:jc w:val="center"/>
              <w:rPr>
                <w:color w:val="000000"/>
                <w:sz w:val="18"/>
                <w:szCs w:val="18"/>
              </w:rPr>
            </w:pPr>
            <w:r>
              <w:rPr>
                <w:rFonts w:hint="eastAsia"/>
                <w:color w:val="000000"/>
                <w:sz w:val="18"/>
                <w:szCs w:val="18"/>
              </w:rPr>
              <w:t>10</w:t>
            </w:r>
            <w:r>
              <w:rPr>
                <w:rFonts w:hint="eastAsia"/>
                <w:color w:val="000000"/>
                <w:kern w:val="0"/>
                <w:sz w:val="18"/>
                <w:szCs w:val="18"/>
              </w:rPr>
              <w:t>～</w:t>
            </w:r>
            <w:r>
              <w:rPr>
                <w:rFonts w:hint="eastAsia"/>
                <w:color w:val="000000"/>
                <w:sz w:val="18"/>
                <w:szCs w:val="18"/>
              </w:rPr>
              <w:t>12</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14:paraId="688AFB63">
            <w:pPr>
              <w:jc w:val="center"/>
              <w:rPr>
                <w:color w:val="000000"/>
                <w:sz w:val="18"/>
                <w:szCs w:val="18"/>
              </w:rPr>
            </w:pPr>
            <w:r>
              <w:rPr>
                <w:rFonts w:hint="eastAsia"/>
                <w:color w:val="000000"/>
                <w:sz w:val="18"/>
                <w:szCs w:val="18"/>
              </w:rPr>
              <w:t>11</w:t>
            </w:r>
            <w:r>
              <w:rPr>
                <w:rFonts w:hint="eastAsia"/>
                <w:color w:val="000000"/>
                <w:kern w:val="0"/>
                <w:sz w:val="18"/>
                <w:szCs w:val="18"/>
              </w:rPr>
              <w:t>～</w:t>
            </w:r>
            <w:r>
              <w:rPr>
                <w:rFonts w:hint="eastAsia"/>
                <w:color w:val="000000"/>
                <w:sz w:val="18"/>
                <w:szCs w:val="18"/>
              </w:rPr>
              <w:t>13</w:t>
            </w:r>
          </w:p>
        </w:tc>
      </w:tr>
      <w:tr w14:paraId="44F6AD46">
        <w:tblPrEx>
          <w:tblCellMar>
            <w:top w:w="0" w:type="dxa"/>
            <w:left w:w="108" w:type="dxa"/>
            <w:bottom w:w="0" w:type="dxa"/>
            <w:right w:w="108" w:type="dxa"/>
          </w:tblCellMar>
        </w:tblPrEx>
        <w:trPr>
          <w:trHeight w:val="473" w:hRule="atLeast"/>
          <w:jc w:val="center"/>
        </w:trPr>
        <w:tc>
          <w:tcPr>
            <w:tcW w:w="852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0A7EFE83">
            <w:pPr>
              <w:jc w:val="center"/>
              <w:rPr>
                <w:color w:val="000000"/>
                <w:sz w:val="18"/>
                <w:szCs w:val="18"/>
              </w:rPr>
            </w:pPr>
            <w:r>
              <w:rPr>
                <w:rFonts w:hint="eastAsia"/>
                <w:color w:val="000000"/>
                <w:sz w:val="18"/>
                <w:szCs w:val="18"/>
              </w:rPr>
              <w:t>注：如实施期间遇雨，根据雨量适当减少单次灌溉水量、增加灌溉间隔时长</w:t>
            </w:r>
          </w:p>
        </w:tc>
      </w:tr>
      <w:bookmarkEnd w:id="6"/>
    </w:tbl>
    <w:p w14:paraId="46622D6C">
      <w:pPr>
        <w:snapToGrid w:val="0"/>
        <w:spacing w:line="360" w:lineRule="auto"/>
        <w:rPr>
          <w:color w:val="0D0D0D"/>
          <w:sz w:val="24"/>
          <w:szCs w:val="24"/>
        </w:rPr>
      </w:pPr>
    </w:p>
    <w:p w14:paraId="3F755DA7">
      <w:pPr>
        <w:snapToGrid w:val="0"/>
        <w:spacing w:line="360" w:lineRule="auto"/>
        <w:rPr>
          <w:color w:val="0D0D0D"/>
          <w:sz w:val="24"/>
          <w:szCs w:val="24"/>
        </w:rPr>
      </w:pPr>
      <w:r>
        <w:rPr>
          <w:color w:val="0D0D0D"/>
          <w:sz w:val="24"/>
          <w:szCs w:val="24"/>
        </w:rPr>
        <w:t>最大灌溉定额、间隔天数、</w:t>
      </w:r>
      <w:r>
        <w:rPr>
          <w:sz w:val="24"/>
          <w:szCs w:val="24"/>
        </w:rPr>
        <w:t>参考作物蒸散量和</w:t>
      </w:r>
      <w:r>
        <w:rPr>
          <w:color w:val="0D0D0D"/>
          <w:sz w:val="24"/>
          <w:szCs w:val="24"/>
        </w:rPr>
        <w:t>稻田渗漏率具体公式如下所示。</w:t>
      </w:r>
    </w:p>
    <w:p w14:paraId="1496AC35">
      <w:pPr>
        <w:adjustRightInd w:val="0"/>
        <w:snapToGrid w:val="0"/>
        <w:spacing w:line="360" w:lineRule="auto"/>
        <w:ind w:firstLine="480" w:firstLineChars="200"/>
        <w:rPr>
          <w:color w:val="0D0D0D"/>
          <w:sz w:val="24"/>
          <w:szCs w:val="24"/>
        </w:rPr>
      </w:pPr>
      <w:r>
        <w:rPr>
          <w:color w:val="0D0D0D"/>
          <w:sz w:val="24"/>
          <w:szCs w:val="24"/>
        </w:rPr>
        <w:t>最大灌溉定额宜按下式确定：</w:t>
      </w:r>
    </w:p>
    <w:p w14:paraId="73592D3D">
      <w:pPr>
        <w:adjustRightInd w:val="0"/>
        <w:snapToGrid w:val="0"/>
        <w:spacing w:line="360" w:lineRule="auto"/>
        <w:jc w:val="center"/>
        <w:rPr>
          <w:rStyle w:val="33"/>
          <w:rFonts w:ascii="黑体" w:hAnsi="黑体" w:eastAsia="黑体" w:cs="黑体"/>
          <w:color w:val="000000"/>
          <w:sz w:val="24"/>
        </w:rPr>
      </w:pPr>
      <m:oMathPara>
        <m:oMath>
          <m:sSub>
            <m:sSubPr>
              <m:ctrlPr>
                <w:rPr>
                  <w:rFonts w:ascii="Cambria Math" w:hAnsi="Cambria Math" w:eastAsia="黑体"/>
                  <w:i/>
                  <w:sz w:val="24"/>
                </w:rPr>
              </m:ctrlPr>
            </m:sSubPr>
            <m:e>
              <m:r>
                <m:rPr/>
                <w:rPr>
                  <w:rFonts w:ascii="Cambria Math" w:hAnsi="Cambria Math" w:eastAsia="黑体"/>
                  <w:sz w:val="24"/>
                </w:rPr>
                <m:t>m</m:t>
              </m:r>
              <m:ctrlPr>
                <w:rPr>
                  <w:rFonts w:ascii="Cambria Math" w:hAnsi="Cambria Math" w:eastAsia="黑体"/>
                  <w:i/>
                  <w:sz w:val="24"/>
                </w:rPr>
              </m:ctrlPr>
            </m:e>
            <m:sub>
              <m:r>
                <m:rPr/>
                <w:rPr>
                  <w:rFonts w:ascii="Cambria Math" w:hAnsi="Cambria Math" w:eastAsia="黑体"/>
                  <w:sz w:val="24"/>
                </w:rPr>
                <m:t>d</m:t>
              </m:r>
              <m:ctrlPr>
                <w:rPr>
                  <w:rFonts w:ascii="Cambria Math" w:hAnsi="Cambria Math" w:eastAsia="黑体"/>
                  <w:i/>
                  <w:sz w:val="24"/>
                </w:rPr>
              </m:ctrlPr>
            </m:sub>
          </m:sSub>
          <m:r>
            <m:rPr/>
            <w:rPr>
              <w:rFonts w:ascii="Cambria Math" w:hAnsi="Cambria Math"/>
              <w:sz w:val="24"/>
            </w:rPr>
            <m:t>=[</m:t>
          </m:r>
          <w:bookmarkStart w:id="16" w:name="_Hlk165324261"/>
          <m:r>
            <m:rPr>
              <m:sty m:val="p"/>
            </m:rPr>
            <w:rPr>
              <w:rFonts w:ascii="Cambria Math" w:hAnsi="Cambria Math"/>
              <w:sz w:val="24"/>
            </w:rPr>
            <w:sym w:font="Symbol" w:char="F067"/>
          </m:r>
          <w:bookmarkEnd w:id="16"/>
          <m:r>
            <m:rPr/>
            <w:rPr>
              <w:rFonts w:ascii="Cambria Math" w:hAnsi="Cambria Math"/>
              <w:sz w:val="24"/>
            </w:rPr>
            <m:t>z</m:t>
          </m:r>
          <m:d>
            <m:dPr>
              <m:ctrlPr>
                <w:rPr>
                  <w:rFonts w:ascii="Cambria Math" w:hAnsi="Cambria Math"/>
                  <w:i/>
                  <w:iCs/>
                  <w:sz w:val="24"/>
                </w:rPr>
              </m:ctrlPr>
            </m:dPr>
            <m:e>
              <m:sSub>
                <m:sSubPr>
                  <m:ctrlPr>
                    <w:rPr>
                      <w:rFonts w:ascii="Cambria Math" w:hAnsi="Cambria Math"/>
                      <w:i/>
                      <w:iCs/>
                      <w:sz w:val="24"/>
                    </w:rPr>
                  </m:ctrlPr>
                </m:sSubPr>
                <m:e>
                  <m:r>
                    <m:rPr/>
                    <w:rPr>
                      <w:rFonts w:ascii="Cambria Math" w:hAnsi="Cambria Math"/>
                      <w:sz w:val="24"/>
                    </w:rPr>
                    <m:t>θ</m:t>
                  </m:r>
                  <m:ctrlPr>
                    <w:rPr>
                      <w:rFonts w:ascii="Cambria Math" w:hAnsi="Cambria Math"/>
                      <w:i/>
                      <w:iCs/>
                      <w:sz w:val="24"/>
                    </w:rPr>
                  </m:ctrlPr>
                </m:e>
                <m:sub>
                  <m:r>
                    <m:rPr/>
                    <w:rPr>
                      <w:rFonts w:ascii="Cambria Math" w:hAnsi="Cambria Math"/>
                      <w:sz w:val="24"/>
                    </w:rPr>
                    <m:t>1</m:t>
                  </m:r>
                  <m:ctrlPr>
                    <w:rPr>
                      <w:rFonts w:ascii="Cambria Math" w:hAnsi="Cambria Math"/>
                      <w:i/>
                      <w:iCs/>
                      <w:sz w:val="24"/>
                    </w:rPr>
                  </m:ctrlPr>
                </m:sub>
              </m:sSub>
              <m:r>
                <m:rPr/>
                <w:rPr>
                  <w:rFonts w:ascii="Cambria Math" w:hAnsi="Cambria Math"/>
                  <w:sz w:val="24"/>
                </w:rPr>
                <m:t>−</m:t>
              </m:r>
              <m:sSub>
                <m:sSubPr>
                  <m:ctrlPr>
                    <w:rPr>
                      <w:rFonts w:ascii="Cambria Math" w:hAnsi="Cambria Math"/>
                      <w:i/>
                      <w:iCs/>
                      <w:sz w:val="24"/>
                    </w:rPr>
                  </m:ctrlPr>
                </m:sSubPr>
                <m:e>
                  <m:r>
                    <m:rPr/>
                    <w:rPr>
                      <w:rFonts w:ascii="Cambria Math" w:hAnsi="Cambria Math"/>
                      <w:sz w:val="24"/>
                    </w:rPr>
                    <m:t>θ</m:t>
                  </m:r>
                  <m:ctrlPr>
                    <w:rPr>
                      <w:rFonts w:ascii="Cambria Math" w:hAnsi="Cambria Math"/>
                      <w:i/>
                      <w:iCs/>
                      <w:sz w:val="24"/>
                    </w:rPr>
                  </m:ctrlPr>
                </m:e>
                <m:sub>
                  <m:r>
                    <m:rPr/>
                    <w:rPr>
                      <w:rFonts w:ascii="Cambria Math" w:hAnsi="Cambria Math"/>
                      <w:sz w:val="24"/>
                    </w:rPr>
                    <m:t>2</m:t>
                  </m:r>
                  <m:ctrlPr>
                    <w:rPr>
                      <w:rFonts w:ascii="Cambria Math" w:hAnsi="Cambria Math"/>
                      <w:i/>
                      <w:iCs/>
                      <w:sz w:val="24"/>
                    </w:rPr>
                  </m:ctrlPr>
                </m:sub>
              </m:sSub>
              <m:ctrlPr>
                <w:rPr>
                  <w:rFonts w:ascii="Cambria Math" w:hAnsi="Cambria Math"/>
                  <w:i/>
                  <w:iCs/>
                  <w:sz w:val="24"/>
                </w:rPr>
              </m:ctrlPr>
            </m:e>
          </m:d>
          <m:r>
            <m:rPr/>
            <w:rPr>
              <w:rFonts w:ascii="Cambria Math" w:hAnsi="Cambria Math"/>
              <w:sz w:val="24"/>
            </w:rPr>
            <m:t>/10000+</m:t>
          </m:r>
          <m:sSub>
            <m:sSubPr>
              <m:ctrlPr>
                <w:rPr>
                  <w:rFonts w:ascii="Cambria Math" w:hAnsi="Cambria Math"/>
                  <w:i/>
                  <w:iCs/>
                  <w:sz w:val="24"/>
                </w:rPr>
              </m:ctrlPr>
            </m:sSubPr>
            <m:e>
              <m:r>
                <m:rPr/>
                <w:rPr>
                  <w:rFonts w:ascii="Cambria Math" w:hAnsi="Cambria Math"/>
                  <w:sz w:val="24"/>
                </w:rPr>
                <m:t>ℎ</m:t>
              </m:r>
              <m:ctrlPr>
                <w:rPr>
                  <w:rFonts w:ascii="Cambria Math" w:hAnsi="Cambria Math"/>
                  <w:i/>
                  <w:iCs/>
                  <w:sz w:val="24"/>
                </w:rPr>
              </m:ctrlPr>
            </m:e>
            <m:sub>
              <m:r>
                <m:rPr/>
                <w:rPr>
                  <w:rFonts w:ascii="Cambria Math" w:hAnsi="Cambria Math"/>
                  <w:sz w:val="24"/>
                </w:rPr>
                <m:t>max</m:t>
              </m:r>
              <m:ctrlPr>
                <w:rPr>
                  <w:rFonts w:ascii="Cambria Math" w:hAnsi="Cambria Math"/>
                  <w:i/>
                  <w:iCs/>
                  <w:sz w:val="24"/>
                </w:rPr>
              </m:ctrlPr>
            </m:sub>
          </m:sSub>
          <m:r>
            <m:rPr/>
            <w:rPr>
              <w:rFonts w:ascii="Cambria Math" w:hAnsi="Cambria Math"/>
              <w:sz w:val="24"/>
            </w:rPr>
            <m:t>]</m:t>
          </m:r>
          <m:r>
            <m:rPr/>
            <w:rPr>
              <w:rFonts w:hint="eastAsia" w:ascii="Cambria Math" w:hAnsi="Cambria Math"/>
              <w:sz w:val="24"/>
            </w:rPr>
            <m:t>×</m:t>
          </m:r>
          <m:r>
            <m:rPr/>
            <w:rPr>
              <w:rFonts w:ascii="Cambria Math" w:hAnsi="Cambria Math"/>
              <w:sz w:val="24"/>
            </w:rPr>
            <m:t>667</m:t>
          </m:r>
        </m:oMath>
      </m:oMathPara>
    </w:p>
    <w:p w14:paraId="3F298202">
      <w:pPr>
        <w:spacing w:line="360" w:lineRule="auto"/>
        <w:rPr>
          <w:sz w:val="24"/>
          <w:szCs w:val="24"/>
        </w:rPr>
      </w:pPr>
      <w:r>
        <w:rPr>
          <w:sz w:val="24"/>
          <w:szCs w:val="24"/>
        </w:rPr>
        <w:t>式中：</w:t>
      </w:r>
      <w:r>
        <w:rPr>
          <w:i/>
          <w:iCs/>
          <w:sz w:val="24"/>
          <w:szCs w:val="24"/>
        </w:rPr>
        <w:t>m</w:t>
      </w:r>
      <w:r>
        <w:rPr>
          <w:i/>
          <w:iCs/>
          <w:sz w:val="24"/>
          <w:szCs w:val="24"/>
          <w:vertAlign w:val="subscript"/>
        </w:rPr>
        <w:t>d</w:t>
      </w:r>
      <w:r>
        <w:rPr>
          <w:sz w:val="24"/>
          <w:szCs w:val="24"/>
        </w:rPr>
        <w:t>为最大灌溉定额，m</w:t>
      </w:r>
      <w:r>
        <w:rPr>
          <w:sz w:val="24"/>
          <w:szCs w:val="24"/>
          <w:vertAlign w:val="superscript"/>
        </w:rPr>
        <w:t>3</w:t>
      </w:r>
      <w:r>
        <w:rPr>
          <w:sz w:val="24"/>
          <w:szCs w:val="24"/>
        </w:rPr>
        <w:t>·667m</w:t>
      </w:r>
      <w:r>
        <w:rPr>
          <w:sz w:val="24"/>
          <w:szCs w:val="24"/>
          <w:vertAlign w:val="superscript"/>
        </w:rPr>
        <w:t>-2</w:t>
      </w:r>
      <w:r>
        <w:rPr>
          <w:sz w:val="24"/>
          <w:szCs w:val="24"/>
        </w:rPr>
        <w:t>；</w:t>
      </w:r>
      <m:oMath>
        <m:r>
          <w:rPr>
            <w:rFonts w:ascii="Cambria Math" w:hAnsi="Cambria Math"/>
            <w:sz w:val="24"/>
          </w:rPr>
          <w:sym w:font="Symbol" w:char="F067"/>
        </m:r>
      </m:oMath>
      <w:r>
        <w:rPr>
          <w:sz w:val="24"/>
          <w:szCs w:val="24"/>
        </w:rPr>
        <w:t>为土壤容重，g·cm</w:t>
      </w:r>
      <w:r>
        <w:rPr>
          <w:sz w:val="24"/>
          <w:szCs w:val="24"/>
          <w:vertAlign w:val="superscript"/>
        </w:rPr>
        <w:t>-3</w:t>
      </w:r>
      <w:r>
        <w:rPr>
          <w:sz w:val="24"/>
          <w:szCs w:val="24"/>
        </w:rPr>
        <w:t>；</w:t>
      </w:r>
      <w:r>
        <w:rPr>
          <w:i/>
          <w:iCs/>
          <w:sz w:val="24"/>
          <w:szCs w:val="24"/>
        </w:rPr>
        <w:t>z</w:t>
      </w:r>
      <w:r>
        <w:rPr>
          <w:sz w:val="24"/>
          <w:szCs w:val="24"/>
        </w:rPr>
        <w:t>为计划湿润土层，cm；</w:t>
      </w:r>
      <m:oMath>
        <m:sSub>
          <m:sSubPr>
            <m:ctrlPr>
              <w:rPr>
                <w:rFonts w:ascii="Cambria Math" w:hAnsi="Cambria Math"/>
                <w:i/>
                <w:iCs/>
                <w:sz w:val="24"/>
              </w:rPr>
            </m:ctrlPr>
          </m:sSubPr>
          <m:e>
            <m:r>
              <m:rPr/>
              <w:rPr>
                <w:rFonts w:ascii="Cambria Math" w:hAnsi="Cambria Math"/>
                <w:sz w:val="24"/>
              </w:rPr>
              <m:t>θ</m:t>
            </m:r>
            <m:ctrlPr>
              <w:rPr>
                <w:rFonts w:ascii="Cambria Math" w:hAnsi="Cambria Math"/>
                <w:i/>
                <w:iCs/>
                <w:sz w:val="24"/>
              </w:rPr>
            </m:ctrlPr>
          </m:e>
          <m:sub>
            <m:r>
              <m:rPr/>
              <w:rPr>
                <w:rFonts w:ascii="Cambria Math" w:hAnsi="Cambria Math"/>
                <w:sz w:val="24"/>
              </w:rPr>
              <m:t>1</m:t>
            </m:r>
            <m:ctrlPr>
              <w:rPr>
                <w:rFonts w:ascii="Cambria Math" w:hAnsi="Cambria Math"/>
                <w:i/>
                <w:iCs/>
                <w:sz w:val="24"/>
              </w:rPr>
            </m:ctrlPr>
          </m:sub>
        </m:sSub>
      </m:oMath>
      <w:r>
        <w:rPr>
          <w:sz w:val="24"/>
          <w:szCs w:val="24"/>
        </w:rPr>
        <w:t>为土壤饱和含水量，%；</w:t>
      </w:r>
      <m:oMath>
        <m:sSub>
          <m:sSubPr>
            <m:ctrlPr>
              <w:rPr>
                <w:rFonts w:ascii="Cambria Math" w:hAnsi="Cambria Math"/>
                <w:i/>
                <w:iCs/>
                <w:sz w:val="24"/>
              </w:rPr>
            </m:ctrlPr>
          </m:sSubPr>
          <m:e>
            <m:r>
              <m:rPr/>
              <w:rPr>
                <w:rFonts w:ascii="Cambria Math" w:hAnsi="Cambria Math"/>
                <w:sz w:val="24"/>
              </w:rPr>
              <m:t>θ</m:t>
            </m:r>
            <m:ctrlPr>
              <w:rPr>
                <w:rFonts w:ascii="Cambria Math" w:hAnsi="Cambria Math"/>
                <w:i/>
                <w:iCs/>
                <w:sz w:val="24"/>
              </w:rPr>
            </m:ctrlPr>
          </m:e>
          <m:sub>
            <m:r>
              <m:rPr/>
              <w:rPr>
                <w:rFonts w:ascii="Cambria Math" w:hAnsi="Cambria Math"/>
                <w:sz w:val="24"/>
              </w:rPr>
              <m:t>2</m:t>
            </m:r>
            <m:ctrlPr>
              <w:rPr>
                <w:rFonts w:ascii="Cambria Math" w:hAnsi="Cambria Math"/>
                <w:i/>
                <w:iCs/>
                <w:sz w:val="24"/>
              </w:rPr>
            </m:ctrlPr>
          </m:sub>
        </m:sSub>
      </m:oMath>
      <w:r>
        <w:rPr>
          <w:sz w:val="24"/>
          <w:szCs w:val="24"/>
        </w:rPr>
        <w:t>为适宜土壤重量含水量下限，%；</w:t>
      </w:r>
      <w:r>
        <w:rPr>
          <w:i/>
          <w:iCs/>
          <w:sz w:val="24"/>
          <w:szCs w:val="24"/>
        </w:rPr>
        <w:t>h</w:t>
      </w:r>
      <w:r>
        <w:rPr>
          <w:i/>
          <w:iCs/>
          <w:sz w:val="24"/>
          <w:szCs w:val="24"/>
          <w:vertAlign w:val="subscript"/>
        </w:rPr>
        <w:t>max</w:t>
      </w:r>
      <w:r>
        <w:rPr>
          <w:sz w:val="24"/>
          <w:szCs w:val="24"/>
        </w:rPr>
        <w:t>为灌溉上限，mm。</w:t>
      </w:r>
    </w:p>
    <w:p w14:paraId="366D6284">
      <w:pPr>
        <w:widowControl/>
        <w:spacing w:line="360" w:lineRule="auto"/>
        <w:ind w:firstLine="480" w:firstLineChars="200"/>
        <w:jc w:val="left"/>
        <w:rPr>
          <w:color w:val="0D0D0D"/>
          <w:sz w:val="24"/>
          <w:szCs w:val="24"/>
        </w:rPr>
      </w:pPr>
      <w:r>
        <w:rPr>
          <w:color w:val="0D0D0D"/>
          <w:sz w:val="24"/>
          <w:szCs w:val="24"/>
        </w:rPr>
        <w:t>间隔天数宜按下式确定：</w:t>
      </w:r>
    </w:p>
    <w:p w14:paraId="1D6928FD">
      <w:pPr>
        <w:adjustRightInd w:val="0"/>
        <w:snapToGrid w:val="0"/>
        <w:jc w:val="center"/>
        <w:rPr>
          <w:rStyle w:val="33"/>
          <w:rFonts w:ascii="黑体" w:hAnsi="黑体" w:eastAsia="黑体" w:cs="黑体"/>
          <w:color w:val="000000"/>
        </w:rPr>
      </w:pPr>
      <m:oMathPara>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w:rPr>
                  <w:rFonts w:ascii="Cambria Math" w:hAnsi="Cambria Math"/>
                </w:rPr>
                <m:t>i</m:t>
              </m:r>
              <m:ctrlPr>
                <w:rPr>
                  <w:rFonts w:ascii="Cambria Math" w:hAnsi="Cambria Math"/>
                  <w:i/>
                  <w:iCs/>
                </w:rPr>
              </m:ctrlPr>
            </m:sub>
          </m:sSub>
          <m:r>
            <m:rPr/>
            <w:rPr>
              <w:rFonts w:ascii="Cambria Math" w:hAnsi="Cambria Math"/>
            </w:rPr>
            <m:t>=</m:t>
          </m:r>
          <m:d>
            <m:dPr>
              <m:begChr m:val="["/>
              <m:endChr m:val="]"/>
              <m:ctrlPr>
                <w:rPr>
                  <w:rFonts w:ascii="Cambria Math" w:hAnsi="Cambria Math"/>
                  <w:i/>
                </w:rPr>
              </m:ctrlPr>
            </m:dPr>
            <m:e>
              <m:f>
                <m:fPr>
                  <m:ctrlPr>
                    <w:rPr>
                      <w:rFonts w:ascii="Cambria Math" w:hAnsi="Cambria Math"/>
                      <w:i/>
                      <w:iCs/>
                    </w:rPr>
                  </m:ctrlPr>
                </m:fPr>
                <m:num>
                  <m:r>
                    <m:rPr>
                      <m:sty m:val="p"/>
                    </m:rPr>
                    <w:rPr>
                      <w:rFonts w:ascii="Cambria Math" w:hAnsi="Cambria Math"/>
                    </w:rPr>
                    <w:sym w:font="Symbol" w:char="F067"/>
                  </m:r>
                  <m:r>
                    <m:rPr/>
                    <w:rPr>
                      <w:rFonts w:ascii="Cambria Math" w:hAnsi="Cambria Math"/>
                    </w:rPr>
                    <m:t>z</m:t>
                  </m:r>
                  <m:d>
                    <m:dPr>
                      <m:ctrlPr>
                        <w:rPr>
                          <w:rFonts w:ascii="Cambria Math" w:hAnsi="Cambria Math"/>
                          <w:i/>
                          <w:iCs/>
                        </w:rPr>
                      </m:ctrlPr>
                    </m:dPr>
                    <m:e>
                      <m:sSub>
                        <m:sSubPr>
                          <m:ctrlPr>
                            <w:rPr>
                              <w:rFonts w:ascii="Cambria Math" w:hAnsi="Cambria Math"/>
                              <w:i/>
                              <w:iCs/>
                            </w:rPr>
                          </m:ctrlPr>
                        </m:sSubPr>
                        <m:e>
                          <m:r>
                            <m:rPr/>
                            <w:rPr>
                              <w:rFonts w:ascii="Cambria Math" w:hAnsi="Cambria Math"/>
                            </w:rPr>
                            <m:t>θ</m:t>
                          </m:r>
                          <m:ctrlPr>
                            <w:rPr>
                              <w:rFonts w:ascii="Cambria Math" w:hAnsi="Cambria Math"/>
                              <w:i/>
                              <w:iCs/>
                            </w:rPr>
                          </m:ctrlPr>
                        </m:e>
                        <m:sub>
                          <m:r>
                            <m:rPr/>
                            <w:rPr>
                              <w:rFonts w:ascii="Cambria Math" w:hAnsi="Cambria Math"/>
                            </w:rPr>
                            <m:t>1</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θ</m:t>
                          </m:r>
                          <m:ctrlPr>
                            <w:rPr>
                              <w:rFonts w:ascii="Cambria Math" w:hAnsi="Cambria Math"/>
                              <w:i/>
                              <w:iCs/>
                            </w:rPr>
                          </m:ctrlPr>
                        </m:e>
                        <m:sub>
                          <m:r>
                            <m:rPr/>
                            <w:rPr>
                              <w:rFonts w:ascii="Cambria Math" w:hAnsi="Cambria Math"/>
                            </w:rPr>
                            <m:t>2</m:t>
                          </m:r>
                          <m:ctrlPr>
                            <w:rPr>
                              <w:rFonts w:ascii="Cambria Math" w:hAnsi="Cambria Math"/>
                              <w:i/>
                              <w:iCs/>
                            </w:rPr>
                          </m:ctrlPr>
                        </m:sub>
                      </m:sSub>
                      <m:ctrlPr>
                        <w:rPr>
                          <w:rFonts w:ascii="Cambria Math" w:hAnsi="Cambria Math"/>
                          <w:i/>
                          <w:iCs/>
                        </w:rPr>
                      </m:ctrlPr>
                    </m:e>
                  </m:d>
                  <m:ctrlPr>
                    <w:rPr>
                      <w:rFonts w:ascii="Cambria Math" w:hAnsi="Cambria Math"/>
                      <w:i/>
                    </w:rPr>
                  </m:ctrlPr>
                </m:num>
                <m:den>
                  <m:r>
                    <m:rPr/>
                    <w:rPr>
                      <w:rFonts w:ascii="Cambria Math" w:hAnsi="Cambria Math"/>
                    </w:rPr>
                    <m:t>10000</m:t>
                  </m:r>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ℎ</m:t>
                  </m:r>
                  <m:ctrlPr>
                    <w:rPr>
                      <w:rFonts w:ascii="Cambria Math" w:hAnsi="Cambria Math"/>
                      <w:i/>
                      <w:iCs/>
                    </w:rPr>
                  </m:ctrlPr>
                </m:e>
                <m:sub>
                  <m:r>
                    <m:rPr/>
                    <w:rPr>
                      <w:rFonts w:ascii="Cambria Math" w:hAnsi="Cambria Math"/>
                    </w:rPr>
                    <m:t>max</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R</m:t>
                  </m:r>
                  <m:ctrlPr>
                    <w:rPr>
                      <w:rFonts w:ascii="Cambria Math" w:hAnsi="Cambria Math"/>
                      <w:i/>
                      <w:iCs/>
                    </w:rPr>
                  </m:ctrlPr>
                </m:e>
                <m:sub>
                  <m:r>
                    <m:rPr/>
                    <w:rPr>
                      <w:rFonts w:ascii="Cambria Math" w:hAnsi="Cambria Math"/>
                    </w:rPr>
                    <m:t>i</m:t>
                  </m:r>
                  <m:ctrlPr>
                    <w:rPr>
                      <w:rFonts w:ascii="Cambria Math" w:hAnsi="Cambria Math"/>
                      <w:i/>
                      <w:iCs/>
                    </w:rPr>
                  </m:ctrlPr>
                </m:sub>
              </m:sSub>
              <m:ctrlPr>
                <w:rPr>
                  <w:rFonts w:ascii="Cambria Math" w:hAnsi="Cambria Math"/>
                  <w:i/>
                  <w:iCs/>
                </w:rPr>
              </m:ctrlPr>
            </m:e>
          </m:d>
          <m:r>
            <m:rPr/>
            <w:rPr>
              <w:rFonts w:ascii="Cambria Math" w:hAnsi="Cambria Math"/>
            </w:rPr>
            <m:t>−</m:t>
          </m:r>
          <m:nary>
            <m:naryPr>
              <m:chr m:val="∑"/>
              <m:limLoc m:val="subSup"/>
              <m:ctrlPr>
                <w:rPr>
                  <w:rFonts w:ascii="Cambria Math" w:hAnsi="Cambria Math"/>
                  <w:i/>
                  <w:iCs/>
                </w:rPr>
              </m:ctrlPr>
            </m:naryPr>
            <m:sub>
              <m:r>
                <m:rPr/>
                <w:rPr>
                  <w:rFonts w:ascii="Cambria Math" w:hAnsi="Cambria Math"/>
                </w:rPr>
                <m:t>i=1</m:t>
              </m:r>
              <m:ctrlPr>
                <w:rPr>
                  <w:rFonts w:ascii="Cambria Math" w:hAnsi="Cambria Math"/>
                  <w:i/>
                  <w:iCs/>
                </w:rPr>
              </m:ctrlPr>
            </m:sub>
            <m:sup>
              <m:r>
                <m:rPr/>
                <w:rPr>
                  <w:rFonts w:ascii="Cambria Math" w:hAnsi="Cambria Math"/>
                </w:rPr>
                <m:t>n</m:t>
              </m:r>
              <m:ctrlPr>
                <w:rPr>
                  <w:rFonts w:ascii="Cambria Math" w:hAnsi="Cambria Math"/>
                  <w:i/>
                  <w:iCs/>
                </w:rPr>
              </m:ctrlPr>
            </m:sup>
            <m:e>
              <m:d>
                <m:dPr>
                  <m:ctrlPr>
                    <w:rPr>
                      <w:rFonts w:ascii="Cambria Math" w:hAnsi="Cambria Math"/>
                      <w:i/>
                      <w:iCs/>
                    </w:rPr>
                  </m:ctrlPr>
                </m:dPr>
                <m:e>
                  <m:sSub>
                    <m:sSubPr>
                      <m:ctrlPr>
                        <w:rPr>
                          <w:rFonts w:ascii="Cambria Math" w:hAnsi="Cambria Math"/>
                          <w:i/>
                          <w:iCs/>
                        </w:rPr>
                      </m:ctrlPr>
                    </m:sSubPr>
                    <m:e>
                      <m:r>
                        <m:rPr/>
                        <w:rPr>
                          <w:rFonts w:ascii="Cambria Math" w:hAnsi="Cambria Math"/>
                        </w:rPr>
                        <m:t>ET</m:t>
                      </m:r>
                      <m:ctrlPr>
                        <w:rPr>
                          <w:rFonts w:ascii="Cambria Math" w:hAnsi="Cambria Math"/>
                          <w:i/>
                          <w:iCs/>
                        </w:rPr>
                      </m:ctrlPr>
                    </m:e>
                    <m:sub>
                      <m:r>
                        <m:rPr/>
                        <w:rPr>
                          <w:rFonts w:ascii="Cambria Math" w:hAnsi="Cambria Math"/>
                        </w:rPr>
                        <m:t>0i</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i</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d</m:t>
                      </m:r>
                      <m:ctrlPr>
                        <w:rPr>
                          <w:rFonts w:ascii="Cambria Math" w:hAnsi="Cambria Math"/>
                          <w:i/>
                          <w:iCs/>
                        </w:rPr>
                      </m:ctrlPr>
                    </m:e>
                    <m:sub>
                      <m:r>
                        <m:rPr/>
                        <w:rPr>
                          <w:rFonts w:ascii="Cambria Math" w:hAnsi="Cambria Math"/>
                        </w:rPr>
                        <m:t>i</m:t>
                      </m:r>
                      <m:ctrlPr>
                        <w:rPr>
                          <w:rFonts w:ascii="Cambria Math" w:hAnsi="Cambria Math"/>
                          <w:i/>
                          <w:iCs/>
                        </w:rPr>
                      </m:ctrlPr>
                    </m:sub>
                  </m:sSub>
                  <m:ctrlPr>
                    <w:rPr>
                      <w:rFonts w:ascii="Cambria Math" w:hAnsi="Cambria Math"/>
                      <w:i/>
                      <w:iCs/>
                    </w:rPr>
                  </m:ctrlPr>
                </m:e>
              </m:d>
              <m:ctrlPr>
                <w:rPr>
                  <w:rFonts w:ascii="Cambria Math" w:hAnsi="Cambria Math"/>
                  <w:i/>
                  <w:iCs/>
                </w:rPr>
              </m:ctrlPr>
            </m:e>
          </m:nary>
        </m:oMath>
      </m:oMathPara>
    </w:p>
    <w:p w14:paraId="66562CE0">
      <w:pPr>
        <w:widowControl/>
        <w:adjustRightInd w:val="0"/>
        <w:snapToGrid w:val="0"/>
        <w:spacing w:line="360" w:lineRule="auto"/>
        <w:rPr>
          <w:sz w:val="24"/>
          <w:szCs w:val="24"/>
        </w:rPr>
      </w:pPr>
      <w:r>
        <w:rPr>
          <w:sz w:val="24"/>
          <w:szCs w:val="24"/>
        </w:rPr>
        <w:t>式中：</w:t>
      </w:r>
      <w:r>
        <w:rPr>
          <w:i/>
          <w:iCs/>
          <w:sz w:val="24"/>
          <w:szCs w:val="24"/>
        </w:rPr>
        <w:t>Di</w:t>
      </w:r>
      <w:r>
        <w:rPr>
          <w:sz w:val="24"/>
          <w:szCs w:val="24"/>
        </w:rPr>
        <w:t>为第i天田面水深度，mm；</w:t>
      </w:r>
      <m:oMath>
        <m:r>
          <w:rPr>
            <w:rFonts w:ascii="Cambria Math" w:hAnsi="Cambria Math"/>
            <w:sz w:val="24"/>
          </w:rPr>
          <w:sym w:font="Symbol" w:char="F067"/>
        </m:r>
      </m:oMath>
      <w:r>
        <w:rPr>
          <w:sz w:val="24"/>
          <w:szCs w:val="24"/>
        </w:rPr>
        <w:t>为土壤容重，g/cm</w:t>
      </w:r>
      <w:r>
        <w:rPr>
          <w:sz w:val="24"/>
          <w:szCs w:val="24"/>
          <w:vertAlign w:val="superscript"/>
        </w:rPr>
        <w:t>3</w:t>
      </w:r>
      <w:r>
        <w:rPr>
          <w:sz w:val="24"/>
          <w:szCs w:val="24"/>
        </w:rPr>
        <w:t>；</w:t>
      </w:r>
      <w:r>
        <w:rPr>
          <w:i/>
          <w:iCs/>
          <w:sz w:val="24"/>
          <w:szCs w:val="24"/>
        </w:rPr>
        <w:t>z</w:t>
      </w:r>
      <w:r>
        <w:rPr>
          <w:sz w:val="24"/>
          <w:szCs w:val="24"/>
        </w:rPr>
        <w:t>为计划湿润土层，cm；</w:t>
      </w:r>
      <m:oMath>
        <m:sSub>
          <m:sSubPr>
            <m:ctrlPr>
              <w:rPr>
                <w:rFonts w:ascii="Cambria Math" w:hAnsi="Cambria Math"/>
                <w:i/>
                <w:iCs/>
                <w:sz w:val="24"/>
              </w:rPr>
            </m:ctrlPr>
          </m:sSubPr>
          <m:e>
            <m:r>
              <m:rPr/>
              <w:rPr>
                <w:rFonts w:ascii="Cambria Math" w:hAnsi="Cambria Math"/>
                <w:sz w:val="24"/>
              </w:rPr>
              <m:t>θ</m:t>
            </m:r>
            <m:ctrlPr>
              <w:rPr>
                <w:rFonts w:ascii="Cambria Math" w:hAnsi="Cambria Math"/>
                <w:i/>
                <w:iCs/>
                <w:sz w:val="24"/>
              </w:rPr>
            </m:ctrlPr>
          </m:e>
          <m:sub>
            <m:r>
              <m:rPr/>
              <w:rPr>
                <w:rFonts w:ascii="Cambria Math" w:hAnsi="Cambria Math"/>
                <w:sz w:val="24"/>
              </w:rPr>
              <m:t>1</m:t>
            </m:r>
            <m:ctrlPr>
              <w:rPr>
                <w:rFonts w:ascii="Cambria Math" w:hAnsi="Cambria Math"/>
                <w:i/>
                <w:iCs/>
                <w:sz w:val="24"/>
              </w:rPr>
            </m:ctrlPr>
          </m:sub>
        </m:sSub>
      </m:oMath>
      <w:r>
        <w:rPr>
          <w:sz w:val="24"/>
          <w:szCs w:val="24"/>
        </w:rPr>
        <w:t>为土壤饱和含水量，%；</w:t>
      </w:r>
      <m:oMath>
        <m:sSub>
          <m:sSubPr>
            <m:ctrlPr>
              <w:rPr>
                <w:rFonts w:ascii="Cambria Math" w:hAnsi="Cambria Math"/>
                <w:i/>
                <w:iCs/>
                <w:sz w:val="24"/>
              </w:rPr>
            </m:ctrlPr>
          </m:sSubPr>
          <m:e>
            <m:r>
              <m:rPr/>
              <w:rPr>
                <w:rFonts w:ascii="Cambria Math" w:hAnsi="Cambria Math"/>
                <w:sz w:val="24"/>
              </w:rPr>
              <m:t>θ</m:t>
            </m:r>
            <m:ctrlPr>
              <w:rPr>
                <w:rFonts w:ascii="Cambria Math" w:hAnsi="Cambria Math"/>
                <w:i/>
                <w:iCs/>
                <w:sz w:val="24"/>
              </w:rPr>
            </m:ctrlPr>
          </m:e>
          <m:sub>
            <m:r>
              <m:rPr/>
              <w:rPr>
                <w:rFonts w:ascii="Cambria Math" w:hAnsi="Cambria Math"/>
                <w:sz w:val="24"/>
              </w:rPr>
              <m:t>2</m:t>
            </m:r>
            <m:ctrlPr>
              <w:rPr>
                <w:rFonts w:ascii="Cambria Math" w:hAnsi="Cambria Math"/>
                <w:i/>
                <w:iCs/>
                <w:sz w:val="24"/>
              </w:rPr>
            </m:ctrlPr>
          </m:sub>
        </m:sSub>
      </m:oMath>
      <w:r>
        <w:rPr>
          <w:sz w:val="24"/>
          <w:szCs w:val="24"/>
        </w:rPr>
        <w:t>为适宜土壤重量含水量下限，%；</w:t>
      </w:r>
      <w:r>
        <w:rPr>
          <w:i/>
          <w:iCs/>
          <w:sz w:val="24"/>
          <w:szCs w:val="24"/>
        </w:rPr>
        <w:t>h</w:t>
      </w:r>
      <w:r>
        <w:rPr>
          <w:i/>
          <w:iCs/>
          <w:sz w:val="24"/>
          <w:szCs w:val="24"/>
          <w:vertAlign w:val="subscript"/>
        </w:rPr>
        <w:t>max</w:t>
      </w:r>
      <w:r>
        <w:rPr>
          <w:sz w:val="24"/>
          <w:szCs w:val="24"/>
        </w:rPr>
        <w:t>为灌溉上限，mm；</w:t>
      </w:r>
      <w:r>
        <w:rPr>
          <w:i/>
          <w:iCs/>
          <w:sz w:val="24"/>
          <w:szCs w:val="24"/>
        </w:rPr>
        <w:t>R</w:t>
      </w:r>
      <w:r>
        <w:rPr>
          <w:i/>
          <w:iCs/>
          <w:sz w:val="24"/>
          <w:szCs w:val="24"/>
          <w:vertAlign w:val="subscript"/>
        </w:rPr>
        <w:t>i</w:t>
      </w:r>
      <w:r>
        <w:rPr>
          <w:sz w:val="24"/>
          <w:szCs w:val="24"/>
        </w:rPr>
        <w:t>为第i天降雨量，mm；</w:t>
      </w:r>
      <w:r>
        <w:rPr>
          <w:i/>
          <w:iCs/>
          <w:sz w:val="24"/>
          <w:szCs w:val="24"/>
        </w:rPr>
        <w:t>ET</w:t>
      </w:r>
      <w:r>
        <w:rPr>
          <w:i/>
          <w:iCs/>
          <w:sz w:val="24"/>
          <w:szCs w:val="24"/>
          <w:vertAlign w:val="subscript"/>
        </w:rPr>
        <w:t>0i</w:t>
      </w:r>
      <w:r>
        <w:rPr>
          <w:sz w:val="24"/>
          <w:szCs w:val="24"/>
        </w:rPr>
        <w:t>为第i天参考作物蒸散量，mm；</w:t>
      </w:r>
      <w:r>
        <w:rPr>
          <w:i/>
          <w:iCs/>
          <w:sz w:val="24"/>
          <w:szCs w:val="24"/>
        </w:rPr>
        <w:t>f</w:t>
      </w:r>
      <w:r>
        <w:rPr>
          <w:i/>
          <w:iCs/>
          <w:sz w:val="24"/>
          <w:szCs w:val="24"/>
          <w:vertAlign w:val="subscript"/>
        </w:rPr>
        <w:t>i</w:t>
      </w:r>
      <w:r>
        <w:rPr>
          <w:sz w:val="24"/>
          <w:szCs w:val="24"/>
        </w:rPr>
        <w:t>为稻田渗漏量，mm；</w:t>
      </w:r>
      <w:r>
        <w:rPr>
          <w:i/>
          <w:iCs/>
          <w:sz w:val="24"/>
          <w:szCs w:val="24"/>
        </w:rPr>
        <w:t>d</w:t>
      </w:r>
      <w:r>
        <w:rPr>
          <w:i/>
          <w:iCs/>
          <w:sz w:val="24"/>
          <w:szCs w:val="24"/>
          <w:vertAlign w:val="subscript"/>
        </w:rPr>
        <w:t>i</w:t>
      </w:r>
      <w:r>
        <w:rPr>
          <w:sz w:val="24"/>
          <w:szCs w:val="24"/>
        </w:rPr>
        <w:t>为第i天排水量，mm。</w:t>
      </w:r>
    </w:p>
    <w:p w14:paraId="13048BB5">
      <w:pPr>
        <w:adjustRightInd w:val="0"/>
        <w:snapToGrid w:val="0"/>
        <w:spacing w:line="360" w:lineRule="auto"/>
        <w:rPr>
          <w:sz w:val="24"/>
          <w:szCs w:val="24"/>
        </w:rPr>
      </w:pPr>
      <w:r>
        <w:rPr>
          <w:sz w:val="24"/>
          <w:szCs w:val="24"/>
        </w:rPr>
        <w:t>经计算某日的</w:t>
      </w:r>
      <w:r>
        <w:rPr>
          <w:i/>
          <w:iCs/>
          <w:sz w:val="24"/>
          <w:szCs w:val="24"/>
        </w:rPr>
        <w:t>D</w:t>
      </w:r>
      <w:r>
        <w:rPr>
          <w:i/>
          <w:iCs/>
          <w:sz w:val="24"/>
          <w:szCs w:val="24"/>
          <w:vertAlign w:val="subscript"/>
        </w:rPr>
        <w:t>i</w:t>
      </w:r>
      <w:r>
        <w:rPr>
          <w:sz w:val="24"/>
          <w:szCs w:val="24"/>
        </w:rPr>
        <w:t>小于0，</w:t>
      </w:r>
      <w:r>
        <w:rPr>
          <w:i/>
          <w:iCs/>
          <w:sz w:val="24"/>
          <w:szCs w:val="24"/>
        </w:rPr>
        <w:t>D</w:t>
      </w:r>
      <w:r>
        <w:rPr>
          <w:i/>
          <w:iCs/>
          <w:sz w:val="24"/>
          <w:szCs w:val="24"/>
          <w:vertAlign w:val="subscript"/>
        </w:rPr>
        <w:t>i-1</w:t>
      </w:r>
      <w:r>
        <w:rPr>
          <w:sz w:val="24"/>
          <w:szCs w:val="24"/>
        </w:rPr>
        <w:t>大于0，则灌溉间隔时间为</w:t>
      </w:r>
      <w:r>
        <w:rPr>
          <w:i/>
          <w:iCs/>
          <w:sz w:val="24"/>
          <w:szCs w:val="24"/>
        </w:rPr>
        <w:t>i</w:t>
      </w:r>
      <w:r>
        <w:rPr>
          <w:sz w:val="24"/>
          <w:szCs w:val="24"/>
        </w:rPr>
        <w:t>天。</w:t>
      </w:r>
    </w:p>
    <w:p w14:paraId="30705BAC">
      <w:pPr>
        <w:widowControl/>
        <w:adjustRightInd w:val="0"/>
        <w:snapToGrid w:val="0"/>
        <w:spacing w:line="360" w:lineRule="auto"/>
        <w:ind w:firstLine="480" w:firstLineChars="200"/>
        <w:jc w:val="left"/>
        <w:rPr>
          <w:sz w:val="24"/>
          <w:szCs w:val="24"/>
        </w:rPr>
      </w:pPr>
      <w:r>
        <w:rPr>
          <w:sz w:val="24"/>
          <w:szCs w:val="24"/>
        </w:rPr>
        <w:t>参考作物蒸散量按下式确定：</w:t>
      </w:r>
    </w:p>
    <w:p w14:paraId="6179A2CF">
      <w:pPr>
        <w:widowControl/>
        <w:spacing w:line="360" w:lineRule="auto"/>
        <w:jc w:val="center"/>
        <w:rPr>
          <w:rStyle w:val="33"/>
          <w:sz w:val="24"/>
          <w:szCs w:val="24"/>
        </w:rPr>
      </w:pPr>
      <m:oMathPara>
        <m:oMath>
          <m:sSub>
            <m:sSubPr>
              <m:ctrlPr>
                <w:rPr>
                  <w:rFonts w:ascii="Cambria Math" w:hAnsi="Cambria Math" w:eastAsia="黑体"/>
                  <w:i/>
                  <w:sz w:val="24"/>
                </w:rPr>
              </m:ctrlPr>
            </m:sSubPr>
            <m:e>
              <m:r>
                <m:rPr/>
                <w:rPr>
                  <w:rFonts w:ascii="Cambria Math" w:hAnsi="Cambria Math" w:eastAsia="黑体"/>
                  <w:sz w:val="24"/>
                </w:rPr>
                <m:t>ET</m:t>
              </m:r>
              <m:ctrlPr>
                <w:rPr>
                  <w:rFonts w:ascii="Cambria Math" w:hAnsi="Cambria Math" w:eastAsia="黑体"/>
                  <w:i/>
                  <w:sz w:val="24"/>
                </w:rPr>
              </m:ctrlPr>
            </m:e>
            <m:sub>
              <m:r>
                <m:rPr/>
                <w:rPr>
                  <w:rFonts w:ascii="Cambria Math" w:hAnsi="Cambria Math" w:eastAsia="黑体"/>
                  <w:sz w:val="24"/>
                </w:rPr>
                <m:t>0</m:t>
              </m:r>
              <m:ctrlPr>
                <w:rPr>
                  <w:rFonts w:ascii="Cambria Math" w:hAnsi="Cambria Math" w:eastAsia="黑体"/>
                  <w:i/>
                  <w:sz w:val="24"/>
                </w:rPr>
              </m:ctrlPr>
            </m:sub>
          </m:sSub>
          <m:r>
            <m:rPr/>
            <w:rPr>
              <w:rFonts w:ascii="Cambria Math" w:hAnsi="Cambria Math"/>
              <w:sz w:val="24"/>
            </w:rPr>
            <m:t>=</m:t>
          </m:r>
          <m:f>
            <m:fPr>
              <m:ctrlPr>
                <w:rPr>
                  <w:rFonts w:ascii="Cambria Math" w:hAnsi="Cambria Math"/>
                  <w:i/>
                  <w:sz w:val="24"/>
                </w:rPr>
              </m:ctrlPr>
            </m:fPr>
            <m:num>
              <m:r>
                <m:rPr>
                  <m:sty m:val="p"/>
                </m:rPr>
                <w:rPr>
                  <w:rFonts w:ascii="Cambria Math" w:hAnsi="Cambria Math"/>
                  <w:sz w:val="24"/>
                </w:rPr>
                <m:t>0.408△(</m:t>
              </m:r>
              <m:sSub>
                <m:sSubPr>
                  <m:ctrlPr>
                    <w:rPr>
                      <w:rFonts w:ascii="Cambria Math" w:hAnsi="Cambria Math"/>
                      <w:iCs/>
                      <w:sz w:val="24"/>
                    </w:rPr>
                  </m:ctrlPr>
                </m:sSubPr>
                <m:e>
                  <m:r>
                    <m:rPr/>
                    <w:rPr>
                      <w:rFonts w:ascii="Cambria Math" w:hAnsi="Cambria Math"/>
                      <w:sz w:val="24"/>
                    </w:rPr>
                    <m:t>R</m:t>
                  </m:r>
                  <m:ctrlPr>
                    <w:rPr>
                      <w:rFonts w:ascii="Cambria Math" w:hAnsi="Cambria Math"/>
                      <w:iCs/>
                      <w:sz w:val="24"/>
                    </w:rPr>
                  </m:ctrlPr>
                </m:e>
                <m:sub>
                  <m:r>
                    <m:rPr/>
                    <w:rPr>
                      <w:rFonts w:ascii="Cambria Math" w:hAnsi="Cambria Math"/>
                      <w:sz w:val="24"/>
                    </w:rPr>
                    <m:t>n</m:t>
                  </m:r>
                  <m:ctrlPr>
                    <w:rPr>
                      <w:rFonts w:ascii="Cambria Math" w:hAnsi="Cambria Math"/>
                      <w:iCs/>
                      <w:sz w:val="24"/>
                    </w:rPr>
                  </m:ctrlPr>
                </m:sub>
              </m:sSub>
              <m:r>
                <m:rPr>
                  <m:sty m:val="p"/>
                </m:rPr>
                <w:rPr>
                  <w:rFonts w:ascii="Cambria Math" w:hAnsi="Cambria Math"/>
                  <w:sz w:val="24"/>
                </w:rPr>
                <m:t>−G)+</m:t>
              </m:r>
              <m:r>
                <m:rPr>
                  <m:sty m:val="p"/>
                </m:rPr>
                <w:rPr>
                  <w:rFonts w:ascii="Cambria Math" w:hAnsi="Cambria Math"/>
                  <w:sz w:val="24"/>
                </w:rPr>
                <w:sym w:font="Symbol" w:char="F067"/>
              </m:r>
              <m:f>
                <m:fPr>
                  <m:ctrlPr>
                    <w:rPr>
                      <w:rFonts w:ascii="Cambria Math" w:hAnsi="Cambria Math"/>
                      <w:sz w:val="24"/>
                    </w:rPr>
                  </m:ctrlPr>
                </m:fPr>
                <m:num>
                  <m:r>
                    <m:rPr/>
                    <w:rPr>
                      <w:rFonts w:ascii="Cambria Math" w:hAnsi="Cambria Math"/>
                      <w:sz w:val="24"/>
                    </w:rPr>
                    <m:t>900</m:t>
                  </m:r>
                  <m:ctrlPr>
                    <w:rPr>
                      <w:rFonts w:ascii="Cambria Math" w:hAnsi="Cambria Math"/>
                      <w:sz w:val="24"/>
                    </w:rPr>
                  </m:ctrlPr>
                </m:num>
                <m:den>
                  <m:r>
                    <m:rPr/>
                    <w:rPr>
                      <w:rFonts w:ascii="Cambria Math" w:hAnsi="Cambria Math"/>
                      <w:sz w:val="24"/>
                    </w:rPr>
                    <m:t>T+273</m:t>
                  </m:r>
                  <m:ctrlPr>
                    <w:rPr>
                      <w:rFonts w:ascii="Cambria Math" w:hAnsi="Cambria Math"/>
                      <w:sz w:val="24"/>
                    </w:rPr>
                  </m:ctrlPr>
                </m:den>
              </m:f>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2</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e</m:t>
                  </m:r>
                  <m:ctrlPr>
                    <w:rPr>
                      <w:rFonts w:ascii="Cambria Math" w:hAnsi="Cambria Math"/>
                      <w:i/>
                      <w:sz w:val="24"/>
                    </w:rPr>
                  </m:ctrlPr>
                </m:e>
                <m:sub>
                  <m:r>
                    <m:rPr/>
                    <w:rPr>
                      <w:rFonts w:ascii="Cambria Math" w:hAnsi="Cambria Math"/>
                      <w:sz w:val="24"/>
                    </w:rPr>
                    <m:t>s</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e</m:t>
                  </m:r>
                  <m:ctrlPr>
                    <w:rPr>
                      <w:rFonts w:ascii="Cambria Math" w:hAnsi="Cambria Math"/>
                      <w:i/>
                      <w:sz w:val="24"/>
                    </w:rPr>
                  </m:ctrlPr>
                </m:e>
                <m:sub>
                  <m:r>
                    <m:rPr/>
                    <w:rPr>
                      <w:rFonts w:ascii="Cambria Math" w:hAnsi="Cambria Math"/>
                      <w:sz w:val="24"/>
                    </w:rPr>
                    <m:t>a</m:t>
                  </m:r>
                  <m:ctrlPr>
                    <w:rPr>
                      <w:rFonts w:ascii="Cambria Math" w:hAnsi="Cambria Math"/>
                      <w:i/>
                      <w:sz w:val="24"/>
                    </w:rPr>
                  </m:ctrlPr>
                </m:sub>
              </m:sSub>
              <m:r>
                <m:rPr/>
                <w:rPr>
                  <w:rFonts w:ascii="Cambria Math" w:hAnsi="Cambria Math"/>
                  <w:sz w:val="24"/>
                </w:rPr>
                <m:t>)</m:t>
              </m:r>
              <m:ctrlPr>
                <w:rPr>
                  <w:rFonts w:ascii="Cambria Math" w:hAnsi="Cambria Math"/>
                  <w:i/>
                  <w:sz w:val="24"/>
                </w:rPr>
              </m:ctrlPr>
            </m:num>
            <m:den>
              <m:r>
                <m:rPr>
                  <m:sty m:val="p"/>
                </m:rPr>
                <w:rPr>
                  <w:rFonts w:ascii="Cambria Math" w:hAnsi="Cambria Math"/>
                  <w:sz w:val="24"/>
                </w:rPr>
                <m:t>△+</m:t>
              </m:r>
              <m:r>
                <m:rPr>
                  <m:sty m:val="p"/>
                </m:rPr>
                <w:rPr>
                  <w:rFonts w:ascii="Cambria Math" w:hAnsi="Cambria Math"/>
                  <w:sz w:val="24"/>
                </w:rPr>
                <w:sym w:font="Symbol" w:char="F067"/>
              </m:r>
              <m:r>
                <m:rPr>
                  <m:sty m:val="p"/>
                </m:rPr>
                <w:rPr>
                  <w:rFonts w:ascii="Cambria Math" w:hAnsi="Cambria Math"/>
                  <w:sz w:val="24"/>
                </w:rPr>
                <m:t>(1+0.34</m:t>
              </m:r>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2</m:t>
                  </m:r>
                  <m:ctrlPr>
                    <w:rPr>
                      <w:rFonts w:ascii="Cambria Math" w:hAnsi="Cambria Math"/>
                      <w:i/>
                      <w:sz w:val="24"/>
                    </w:rPr>
                  </m:ctrlPr>
                </m:sub>
              </m:sSub>
              <m:r>
                <m:rPr>
                  <m:sty m:val="p"/>
                </m:rPr>
                <w:rPr>
                  <w:rFonts w:ascii="Cambria Math" w:hAnsi="Cambria Math"/>
                  <w:sz w:val="24"/>
                </w:rPr>
                <m:t>)</m:t>
              </m:r>
              <m:ctrlPr>
                <w:rPr>
                  <w:rFonts w:ascii="Cambria Math" w:hAnsi="Cambria Math"/>
                  <w:i/>
                  <w:sz w:val="24"/>
                </w:rPr>
              </m:ctrlPr>
            </m:den>
          </m:f>
        </m:oMath>
      </m:oMathPara>
    </w:p>
    <w:p w14:paraId="1267CA6D">
      <w:pPr>
        <w:widowControl/>
        <w:spacing w:line="360" w:lineRule="auto"/>
        <w:rPr>
          <w:sz w:val="24"/>
          <w:szCs w:val="24"/>
        </w:rPr>
      </w:pPr>
      <w:r>
        <w:rPr>
          <w:sz w:val="24"/>
          <w:szCs w:val="24"/>
        </w:rPr>
        <w:t>式中：ET</w:t>
      </w:r>
      <w:r>
        <w:rPr>
          <w:sz w:val="24"/>
          <w:szCs w:val="24"/>
          <w:vertAlign w:val="subscript"/>
        </w:rPr>
        <w:t>0</w:t>
      </w:r>
      <w:r>
        <w:rPr>
          <w:sz w:val="24"/>
          <w:szCs w:val="24"/>
        </w:rPr>
        <w:t>为</w:t>
      </w:r>
      <w:bookmarkStart w:id="17" w:name="_Hlk165208380"/>
      <w:r>
        <w:rPr>
          <w:sz w:val="24"/>
          <w:szCs w:val="24"/>
        </w:rPr>
        <w:t>参考作物蒸散量</w:t>
      </w:r>
      <w:bookmarkEnd w:id="17"/>
      <w:r>
        <w:rPr>
          <w:sz w:val="24"/>
          <w:szCs w:val="24"/>
        </w:rPr>
        <w:t>，</w:t>
      </w:r>
      <w:r>
        <w:rPr>
          <w:rFonts w:ascii="Cambria Math" w:hAnsi="Cambria Math" w:cs="Cambria Math"/>
          <w:sz w:val="24"/>
          <w:szCs w:val="24"/>
        </w:rPr>
        <w:t>△</w:t>
      </w:r>
      <w:r>
        <w:rPr>
          <w:sz w:val="24"/>
          <w:szCs w:val="24"/>
        </w:rPr>
        <w:t>为温度-饱和水汽压关系曲线在T处的斜率，kPa·℃</w:t>
      </w:r>
      <w:r>
        <w:rPr>
          <w:sz w:val="24"/>
          <w:szCs w:val="24"/>
          <w:vertAlign w:val="superscript"/>
        </w:rPr>
        <w:t>-1</w:t>
      </w:r>
      <w:r>
        <w:rPr>
          <w:sz w:val="24"/>
          <w:szCs w:val="24"/>
        </w:rPr>
        <w:t>；R</w:t>
      </w:r>
      <w:r>
        <w:rPr>
          <w:sz w:val="24"/>
          <w:szCs w:val="24"/>
          <w:vertAlign w:val="subscript"/>
        </w:rPr>
        <w:t>n</w:t>
      </w:r>
      <w:r>
        <w:rPr>
          <w:sz w:val="24"/>
          <w:szCs w:val="24"/>
        </w:rPr>
        <w:t>为到达作物表面的净辐射，MJ·m</w:t>
      </w:r>
      <w:r>
        <w:rPr>
          <w:sz w:val="24"/>
          <w:szCs w:val="24"/>
          <w:vertAlign w:val="superscript"/>
        </w:rPr>
        <w:t>2</w:t>
      </w:r>
      <w:r>
        <w:rPr>
          <w:sz w:val="24"/>
          <w:szCs w:val="24"/>
        </w:rPr>
        <w:t>·d</w:t>
      </w:r>
      <w:r>
        <w:rPr>
          <w:sz w:val="24"/>
          <w:szCs w:val="24"/>
          <w:vertAlign w:val="superscript"/>
        </w:rPr>
        <w:t>-1</w:t>
      </w:r>
      <w:r>
        <w:rPr>
          <w:sz w:val="24"/>
          <w:szCs w:val="24"/>
        </w:rPr>
        <w:t>；G为土壤热通量，MJ·m</w:t>
      </w:r>
      <w:r>
        <w:rPr>
          <w:sz w:val="24"/>
          <w:szCs w:val="24"/>
          <w:vertAlign w:val="superscript"/>
        </w:rPr>
        <w:t>2</w:t>
      </w:r>
      <w:r>
        <w:rPr>
          <w:sz w:val="24"/>
          <w:szCs w:val="24"/>
        </w:rPr>
        <w:t>·d</w:t>
      </w:r>
      <w:r>
        <w:rPr>
          <w:sz w:val="24"/>
          <w:szCs w:val="24"/>
          <w:vertAlign w:val="superscript"/>
        </w:rPr>
        <w:t>-1</w:t>
      </w:r>
      <w:r>
        <w:rPr>
          <w:sz w:val="24"/>
          <w:szCs w:val="24"/>
        </w:rPr>
        <w:t>；γ为湿度表常数，kPa·℃</w:t>
      </w:r>
      <w:r>
        <w:rPr>
          <w:sz w:val="24"/>
          <w:szCs w:val="24"/>
          <w:vertAlign w:val="superscript"/>
        </w:rPr>
        <w:t>-1</w:t>
      </w:r>
      <w:r>
        <w:rPr>
          <w:sz w:val="24"/>
          <w:szCs w:val="24"/>
        </w:rPr>
        <w:t>；T为2m高处平均气温，℃；u</w:t>
      </w:r>
      <w:r>
        <w:rPr>
          <w:sz w:val="24"/>
          <w:szCs w:val="24"/>
          <w:vertAlign w:val="subscript"/>
        </w:rPr>
        <w:t>2</w:t>
      </w:r>
      <w:r>
        <w:rPr>
          <w:sz w:val="24"/>
          <w:szCs w:val="24"/>
        </w:rPr>
        <w:t>为2m高处风速，m·s</w:t>
      </w:r>
      <w:r>
        <w:rPr>
          <w:sz w:val="24"/>
          <w:szCs w:val="24"/>
          <w:vertAlign w:val="superscript"/>
        </w:rPr>
        <w:t>-1</w:t>
      </w:r>
      <w:r>
        <w:rPr>
          <w:sz w:val="24"/>
          <w:szCs w:val="24"/>
        </w:rPr>
        <w:t>；e</w:t>
      </w:r>
      <w:r>
        <w:rPr>
          <w:sz w:val="24"/>
          <w:szCs w:val="24"/>
          <w:vertAlign w:val="subscript"/>
        </w:rPr>
        <w:t>s</w:t>
      </w:r>
      <w:r>
        <w:rPr>
          <w:sz w:val="24"/>
          <w:szCs w:val="24"/>
        </w:rPr>
        <w:t>为饱和水气压，kPa；e</w:t>
      </w:r>
      <w:r>
        <w:rPr>
          <w:sz w:val="24"/>
          <w:szCs w:val="24"/>
          <w:vertAlign w:val="subscript"/>
        </w:rPr>
        <w:t>a</w:t>
      </w:r>
      <w:r>
        <w:rPr>
          <w:sz w:val="24"/>
          <w:szCs w:val="24"/>
        </w:rPr>
        <w:t>为实际水汽压，kPa。</w:t>
      </w:r>
    </w:p>
    <w:p w14:paraId="32CD684D">
      <w:pPr>
        <w:widowControl/>
        <w:spacing w:line="360" w:lineRule="auto"/>
        <w:ind w:firstLine="480" w:firstLineChars="200"/>
        <w:jc w:val="left"/>
        <w:rPr>
          <w:sz w:val="24"/>
          <w:szCs w:val="24"/>
        </w:rPr>
      </w:pPr>
      <w:r>
        <w:rPr>
          <w:sz w:val="24"/>
          <w:szCs w:val="24"/>
        </w:rPr>
        <w:t>温度-饱和水气压曲线的斜率计算公式：</w:t>
      </w:r>
    </w:p>
    <w:p w14:paraId="0D272E5D">
      <w:pPr>
        <w:widowControl/>
        <w:spacing w:line="360" w:lineRule="auto"/>
        <w:jc w:val="center"/>
        <w:rPr>
          <w:sz w:val="24"/>
          <w:szCs w:val="24"/>
        </w:rPr>
      </w:pPr>
      <m:oMathPara>
        <m:oMath>
          <m:r>
            <m:rPr/>
            <w:rPr>
              <w:rFonts w:hint="eastAsia" w:ascii="Cambria Math" w:hAnsi="Cambria Math" w:eastAsia="黑体"/>
              <w:sz w:val="24"/>
            </w:rPr>
            <m:t>△</m:t>
          </m:r>
          <m:r>
            <m:rPr/>
            <w:rPr>
              <w:rFonts w:ascii="Cambria Math" w:hAnsi="Cambria Math"/>
              <w:sz w:val="24"/>
            </w:rPr>
            <m:t>=</m:t>
          </m:r>
          <m:f>
            <m:fPr>
              <m:ctrlPr>
                <w:rPr>
                  <w:rFonts w:ascii="Cambria Math" w:hAnsi="Cambria Math"/>
                  <w:i/>
                  <w:sz w:val="24"/>
                </w:rPr>
              </m:ctrlPr>
            </m:fPr>
            <m:num>
              <m:r>
                <m:rPr/>
                <w:rPr>
                  <w:rFonts w:ascii="Cambria Math" w:hAnsi="Cambria Math"/>
                  <w:sz w:val="24"/>
                </w:rPr>
                <m:t>4098[0.6108</m:t>
              </m:r>
              <m:func>
                <m:funcPr>
                  <m:ctrlPr>
                    <w:rPr>
                      <w:rFonts w:ascii="Cambria Math" w:hAnsi="Cambria Math"/>
                      <w:sz w:val="24"/>
                    </w:rPr>
                  </m:ctrlPr>
                </m:funcPr>
                <m:fName>
                  <m:r>
                    <m:rPr>
                      <m:sty m:val="p"/>
                    </m:rPr>
                    <w:rPr>
                      <w:rFonts w:ascii="Cambria Math" w:hAnsi="Cambria Math"/>
                      <w:sz w:val="24"/>
                    </w:rPr>
                    <m:t>exp</m:t>
                  </m:r>
                  <m:ctrlPr>
                    <w:rPr>
                      <w:rFonts w:ascii="Cambria Math" w:hAnsi="Cambria Math"/>
                      <w:sz w:val="24"/>
                    </w:rPr>
                  </m:ctrlPr>
                </m:fName>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17.27T</m:t>
                          </m:r>
                          <m:ctrlPr>
                            <w:rPr>
                              <w:rFonts w:ascii="Cambria Math" w:hAnsi="Cambria Math"/>
                              <w:i/>
                              <w:sz w:val="24"/>
                            </w:rPr>
                          </m:ctrlPr>
                        </m:num>
                        <m:den>
                          <m:r>
                            <m:rPr/>
                            <w:rPr>
                              <w:rFonts w:ascii="Cambria Math" w:hAnsi="Cambria Math"/>
                              <w:sz w:val="24"/>
                            </w:rPr>
                            <m:t>T+273</m:t>
                          </m:r>
                          <m:ctrlPr>
                            <w:rPr>
                              <w:rFonts w:ascii="Cambria Math" w:hAnsi="Cambria Math"/>
                              <w:i/>
                              <w:sz w:val="24"/>
                            </w:rPr>
                          </m:ctrlPr>
                        </m:den>
                      </m:f>
                      <m:ctrlPr>
                        <w:rPr>
                          <w:rFonts w:ascii="Cambria Math" w:hAnsi="Cambria Math"/>
                          <w:i/>
                          <w:sz w:val="24"/>
                        </w:rPr>
                      </m:ctrlPr>
                    </m:e>
                  </m:d>
                  <m:ctrlPr>
                    <w:rPr>
                      <w:rFonts w:ascii="Cambria Math" w:hAnsi="Cambria Math"/>
                      <w:sz w:val="24"/>
                    </w:rPr>
                  </m:ctrlPr>
                </m:e>
              </m:func>
              <m:r>
                <m:rPr/>
                <w:rPr>
                  <w:rFonts w:ascii="Cambria Math" w:hAnsi="Cambria Math"/>
                  <w:sz w:val="24"/>
                </w:rPr>
                <m:t>]</m:t>
              </m:r>
              <m:ctrlPr>
                <w:rPr>
                  <w:rFonts w:ascii="Cambria Math" w:hAnsi="Cambria Math"/>
                  <w:i/>
                  <w:sz w:val="24"/>
                </w:rPr>
              </m:ctrlPr>
            </m:num>
            <m:den>
              <m:sSup>
                <m:sSupPr>
                  <m:ctrlPr>
                    <w:rPr>
                      <w:rFonts w:ascii="Cambria Math" w:hAnsi="Cambria Math"/>
                      <w:i/>
                      <w:sz w:val="24"/>
                    </w:rPr>
                  </m:ctrlPr>
                </m:sSupPr>
                <m:e>
                  <m:r>
                    <m:rPr/>
                    <w:rPr>
                      <w:rFonts w:ascii="Cambria Math" w:hAnsi="Cambria Math"/>
                      <w:sz w:val="24"/>
                    </w:rPr>
                    <m:t>(T+237.3)</m:t>
                  </m:r>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i/>
                  <w:sz w:val="24"/>
                </w:rPr>
              </m:ctrlPr>
            </m:den>
          </m:f>
        </m:oMath>
      </m:oMathPara>
    </w:p>
    <w:p w14:paraId="332A57D7">
      <w:pPr>
        <w:widowControl/>
        <w:spacing w:before="156" w:beforeLines="50" w:line="360" w:lineRule="auto"/>
        <w:ind w:firstLine="480" w:firstLineChars="200"/>
        <w:jc w:val="left"/>
        <w:rPr>
          <w:sz w:val="24"/>
          <w:szCs w:val="24"/>
        </w:rPr>
      </w:pPr>
      <w:r>
        <w:rPr>
          <w:sz w:val="24"/>
          <w:szCs w:val="24"/>
        </w:rPr>
        <w:t>参考</w:t>
      </w:r>
      <w:bookmarkStart w:id="18" w:name="_Hlk165374933"/>
      <w:r>
        <w:rPr>
          <w:sz w:val="24"/>
          <w:szCs w:val="24"/>
        </w:rPr>
        <w:t>作物蒸散量</w:t>
      </w:r>
      <w:bookmarkEnd w:id="18"/>
      <w:r>
        <w:rPr>
          <w:sz w:val="24"/>
          <w:szCs w:val="24"/>
        </w:rPr>
        <w:t>可以按下式计算：</w:t>
      </w:r>
    </w:p>
    <w:p w14:paraId="7A789377">
      <w:pPr>
        <w:widowControl/>
        <w:spacing w:line="360" w:lineRule="auto"/>
        <w:jc w:val="center"/>
        <w:rPr>
          <w:sz w:val="24"/>
          <w:szCs w:val="24"/>
          <w:vertAlign w:val="subscript"/>
        </w:rPr>
      </w:pPr>
      <w:r>
        <w:rPr>
          <w:sz w:val="24"/>
          <w:szCs w:val="24"/>
        </w:rPr>
        <w:t>R</w:t>
      </w:r>
      <w:r>
        <w:rPr>
          <w:sz w:val="24"/>
          <w:szCs w:val="24"/>
          <w:vertAlign w:val="subscript"/>
        </w:rPr>
        <w:t>n</w:t>
      </w:r>
      <w:r>
        <w:rPr>
          <w:sz w:val="24"/>
          <w:szCs w:val="24"/>
        </w:rPr>
        <w:t>=R</w:t>
      </w:r>
      <w:r>
        <w:rPr>
          <w:sz w:val="24"/>
          <w:szCs w:val="24"/>
          <w:vertAlign w:val="subscript"/>
        </w:rPr>
        <w:t>ns</w:t>
      </w:r>
      <w:r>
        <w:rPr>
          <w:sz w:val="24"/>
          <w:szCs w:val="24"/>
        </w:rPr>
        <w:t>-R</w:t>
      </w:r>
      <w:r>
        <w:rPr>
          <w:sz w:val="24"/>
          <w:szCs w:val="24"/>
          <w:vertAlign w:val="subscript"/>
        </w:rPr>
        <w:t>nl</w:t>
      </w:r>
    </w:p>
    <w:p w14:paraId="7EBE3D8E">
      <w:pPr>
        <w:widowControl/>
        <w:spacing w:line="360" w:lineRule="auto"/>
        <w:jc w:val="left"/>
        <w:rPr>
          <w:sz w:val="24"/>
          <w:szCs w:val="24"/>
        </w:rPr>
      </w:pPr>
      <w:r>
        <w:rPr>
          <w:sz w:val="24"/>
          <w:szCs w:val="24"/>
        </w:rPr>
        <w:t>式中：Rns为进来的净短波辐射，Rnl为出去的净长波辐射</w:t>
      </w:r>
    </w:p>
    <w:p w14:paraId="634C5E34">
      <w:pPr>
        <w:widowControl/>
        <w:spacing w:line="360" w:lineRule="auto"/>
        <w:ind w:firstLine="480" w:firstLineChars="200"/>
        <w:jc w:val="left"/>
        <w:rPr>
          <w:sz w:val="24"/>
          <w:szCs w:val="24"/>
        </w:rPr>
      </w:pPr>
      <w:r>
        <w:rPr>
          <w:sz w:val="24"/>
          <w:szCs w:val="24"/>
        </w:rPr>
        <w:t>进来的净短波辐射计算公式：</w:t>
      </w:r>
    </w:p>
    <w:p w14:paraId="03C6E735">
      <w:pPr>
        <w:widowControl/>
        <w:spacing w:line="360" w:lineRule="auto"/>
        <w:jc w:val="center"/>
        <w:rPr>
          <w:sz w:val="24"/>
          <w:szCs w:val="24"/>
        </w:rPr>
      </w:pPr>
      <w:r>
        <w:rPr>
          <w:sz w:val="24"/>
          <w:szCs w:val="24"/>
        </w:rPr>
        <w:t>R</w:t>
      </w:r>
      <w:r>
        <w:rPr>
          <w:sz w:val="24"/>
          <w:szCs w:val="24"/>
          <w:vertAlign w:val="subscript"/>
        </w:rPr>
        <w:t>ns</w:t>
      </w:r>
      <w:r>
        <w:rPr>
          <w:sz w:val="24"/>
          <w:szCs w:val="24"/>
        </w:rPr>
        <w:t>=(1-α)R</w:t>
      </w:r>
      <w:r>
        <w:rPr>
          <w:sz w:val="24"/>
          <w:szCs w:val="24"/>
          <w:vertAlign w:val="subscript"/>
        </w:rPr>
        <w:t>S</w:t>
      </w:r>
    </w:p>
    <w:p w14:paraId="00A08877">
      <w:pPr>
        <w:widowControl/>
        <w:spacing w:line="360" w:lineRule="auto"/>
        <w:jc w:val="left"/>
        <w:rPr>
          <w:sz w:val="24"/>
          <w:szCs w:val="24"/>
        </w:rPr>
      </w:pPr>
      <w:r>
        <w:rPr>
          <w:sz w:val="24"/>
          <w:szCs w:val="24"/>
        </w:rPr>
        <w:t>式中：α为冠层反射系数，取值0.23；Rs为天文总辐射，MJ·m</w:t>
      </w:r>
      <w:r>
        <w:rPr>
          <w:sz w:val="24"/>
          <w:szCs w:val="24"/>
          <w:vertAlign w:val="superscript"/>
        </w:rPr>
        <w:t>2</w:t>
      </w:r>
      <w:r>
        <w:rPr>
          <w:sz w:val="24"/>
          <w:szCs w:val="24"/>
        </w:rPr>
        <w:t>·d</w:t>
      </w:r>
      <w:r>
        <w:rPr>
          <w:sz w:val="24"/>
          <w:szCs w:val="24"/>
          <w:vertAlign w:val="superscript"/>
        </w:rPr>
        <w:t>-1</w:t>
      </w:r>
      <w:r>
        <w:rPr>
          <w:sz w:val="24"/>
          <w:szCs w:val="24"/>
        </w:rPr>
        <w:t>。</w:t>
      </w:r>
    </w:p>
    <w:p w14:paraId="299FF727">
      <w:pPr>
        <w:widowControl/>
        <w:spacing w:line="360" w:lineRule="auto"/>
        <w:ind w:firstLine="480" w:firstLineChars="200"/>
        <w:jc w:val="left"/>
        <w:rPr>
          <w:sz w:val="24"/>
          <w:szCs w:val="24"/>
        </w:rPr>
      </w:pPr>
      <w:r>
        <w:rPr>
          <w:sz w:val="24"/>
          <w:szCs w:val="24"/>
        </w:rPr>
        <w:t>出去的净长波辐射计算公式：</w:t>
      </w:r>
    </w:p>
    <w:p w14:paraId="78D9564D">
      <w:pPr>
        <w:widowControl/>
        <w:spacing w:line="360" w:lineRule="auto"/>
        <w:jc w:val="center"/>
        <w:rPr>
          <w:rStyle w:val="33"/>
          <w:i/>
          <w:sz w:val="24"/>
          <w:szCs w:val="24"/>
        </w:rPr>
      </w:pPr>
      <m:oMathPara>
        <m:oMath>
          <m:sSub>
            <m:sSubPr>
              <m:ctrlPr>
                <w:rPr>
                  <w:rFonts w:ascii="Cambria Math" w:hAnsi="Cambria Math" w:eastAsia="黑体"/>
                  <w:i/>
                  <w:sz w:val="24"/>
                </w:rPr>
              </m:ctrlPr>
            </m:sSubPr>
            <m:e>
              <m:r>
                <m:rPr/>
                <w:rPr>
                  <w:rFonts w:ascii="Cambria Math" w:hAnsi="Cambria Math" w:eastAsia="黑体"/>
                  <w:sz w:val="24"/>
                </w:rPr>
                <m:t>R</m:t>
              </m:r>
              <m:ctrlPr>
                <w:rPr>
                  <w:rFonts w:ascii="Cambria Math" w:hAnsi="Cambria Math" w:eastAsia="黑体"/>
                  <w:i/>
                  <w:sz w:val="24"/>
                </w:rPr>
              </m:ctrlPr>
            </m:e>
            <m:sub>
              <m:r>
                <m:rPr/>
                <w:rPr>
                  <w:rFonts w:ascii="Cambria Math" w:hAnsi="Cambria Math" w:eastAsia="黑体"/>
                  <w:sz w:val="24"/>
                </w:rPr>
                <m:t>nl</m:t>
              </m:r>
              <m:ctrlPr>
                <w:rPr>
                  <w:rFonts w:ascii="Cambria Math" w:hAnsi="Cambria Math" w:eastAsia="黑体"/>
                  <w:i/>
                  <w:sz w:val="24"/>
                </w:rPr>
              </m:ctrlPr>
            </m:sub>
          </m:sSub>
          <m:r>
            <m:rPr/>
            <w:rPr>
              <w:rFonts w:ascii="Cambria Math" w:hAnsi="Cambria Math"/>
              <w:sz w:val="24"/>
            </w:rPr>
            <m:t>=</m:t>
          </m:r>
          <m:r>
            <m:rPr/>
            <w:rPr>
              <w:rFonts w:ascii="Cambria Math" w:hAnsi="Cambria Math" w:cs="Arial"/>
              <w:sz w:val="24"/>
              <w:shd w:val="clear" w:color="auto" w:fill="FFFFFF"/>
            </w:rPr>
            <m:t>σ[</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max,k</m:t>
                  </m:r>
                  <m:ctrlPr>
                    <w:rPr>
                      <w:rFonts w:ascii="Cambria Math" w:hAnsi="Cambria Math"/>
                      <w:i/>
                      <w:sz w:val="24"/>
                    </w:rPr>
                  </m:ctrlPr>
                </m:sub>
              </m:sSub>
              <m:r>
                <m:rPr/>
                <w:rPr>
                  <w:rFonts w:ascii="Cambria Math" w:hAnsi="Cambria Math"/>
                  <w:sz w:val="24"/>
                </w:rPr>
                <m:t>4+</m:t>
              </m:r>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min,k</m:t>
                  </m:r>
                  <m:ctrlPr>
                    <w:rPr>
                      <w:rFonts w:ascii="Cambria Math" w:hAnsi="Cambria Math"/>
                      <w:i/>
                      <w:sz w:val="24"/>
                    </w:rPr>
                  </m:ctrlPr>
                </m:sub>
              </m:sSub>
              <m:r>
                <m:rPr/>
                <w:rPr>
                  <w:rFonts w:ascii="Cambria Math" w:hAnsi="Cambria Math"/>
                  <w:sz w:val="24"/>
                </w:rPr>
                <m:t>4</m:t>
              </m:r>
              <m:ctrlPr>
                <w:rPr>
                  <w:rFonts w:ascii="Cambria Math" w:hAnsi="Cambria Math"/>
                  <w:i/>
                  <w:sz w:val="24"/>
                </w:rPr>
              </m:ctrlPr>
            </m:num>
            <m:den>
              <m:r>
                <m:rPr/>
                <w:rPr>
                  <w:rFonts w:ascii="Cambria Math" w:hAnsi="Cambria Math"/>
                  <w:sz w:val="24"/>
                </w:rPr>
                <m:t>4</m:t>
              </m:r>
              <m:ctrlPr>
                <w:rPr>
                  <w:rFonts w:ascii="Cambria Math" w:hAnsi="Cambria Math"/>
                  <w:i/>
                  <w:sz w:val="24"/>
                </w:rPr>
              </m:ctrlPr>
            </m:den>
          </m:f>
          <m:r>
            <m:rPr/>
            <w:rPr>
              <w:rFonts w:ascii="Cambria Math" w:hAnsi="Cambria Math"/>
              <w:sz w:val="24"/>
            </w:rPr>
            <m:t>](0.34−0.14</m:t>
          </m:r>
          <m:rad>
            <m:radPr>
              <m:degHide m:val="1"/>
              <m:ctrlPr>
                <w:rPr>
                  <w:rFonts w:ascii="Cambria Math" w:hAnsi="Cambria Math"/>
                  <w:i/>
                  <w:sz w:val="24"/>
                </w:rPr>
              </m:ctrlPr>
            </m:radPr>
            <m:deg>
              <m:ctrlPr>
                <w:rPr>
                  <w:rFonts w:ascii="Cambria Math" w:hAnsi="Cambria Math"/>
                  <w:i/>
                  <w:sz w:val="24"/>
                </w:rPr>
              </m:ctrlPr>
            </m:deg>
            <m:e>
              <m:sSub>
                <m:sSubPr>
                  <m:ctrlPr>
                    <w:rPr>
                      <w:rFonts w:ascii="Cambria Math" w:hAnsi="Cambria Math"/>
                      <w:i/>
                      <w:sz w:val="24"/>
                    </w:rPr>
                  </m:ctrlPr>
                </m:sSubPr>
                <m:e>
                  <m:r>
                    <m:rPr/>
                    <w:rPr>
                      <w:rFonts w:ascii="Cambria Math" w:hAnsi="Cambria Math"/>
                      <w:sz w:val="24"/>
                    </w:rPr>
                    <m:t>e</m:t>
                  </m:r>
                  <m:ctrlPr>
                    <w:rPr>
                      <w:rFonts w:ascii="Cambria Math" w:hAnsi="Cambria Math"/>
                      <w:i/>
                      <w:sz w:val="24"/>
                    </w:rPr>
                  </m:ctrlPr>
                </m:e>
                <m:sub>
                  <m:r>
                    <m:rPr/>
                    <w:rPr>
                      <w:rFonts w:ascii="Cambria Math" w:hAnsi="Cambria Math"/>
                      <w:sz w:val="24"/>
                    </w:rPr>
                    <m:t>a</m:t>
                  </m:r>
                  <m:ctrlPr>
                    <w:rPr>
                      <w:rFonts w:ascii="Cambria Math" w:hAnsi="Cambria Math"/>
                      <w:i/>
                      <w:sz w:val="24"/>
                    </w:rPr>
                  </m:ctrlPr>
                </m:sub>
              </m:sSub>
              <m:ctrlPr>
                <w:rPr>
                  <w:rFonts w:ascii="Cambria Math" w:hAnsi="Cambria Math"/>
                  <w:i/>
                  <w:sz w:val="24"/>
                </w:rPr>
              </m:ctrlPr>
            </m:e>
          </m:rad>
          <m:r>
            <m:rPr/>
            <w:rPr>
              <w:rFonts w:ascii="Cambria Math" w:hAnsi="Cambria Math"/>
              <w:sz w:val="24"/>
            </w:rPr>
            <m:t>)[1.35</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s</m:t>
                  </m:r>
                  <m:ctrlPr>
                    <w:rPr>
                      <w:rFonts w:ascii="Cambria Math" w:hAnsi="Cambria Math"/>
                      <w:i/>
                      <w:sz w:val="24"/>
                    </w:rPr>
                  </m:ctrlPr>
                </m:sub>
              </m:sSub>
              <m:ctrlPr>
                <w:rPr>
                  <w:rFonts w:ascii="Cambria Math" w:hAnsi="Cambria Math"/>
                  <w:i/>
                  <w:sz w:val="24"/>
                </w:rPr>
              </m:ctrlPr>
            </m:num>
            <m:den>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SO</m:t>
                  </m:r>
                  <m:ctrlPr>
                    <w:rPr>
                      <w:rFonts w:ascii="Cambria Math" w:hAnsi="Cambria Math"/>
                      <w:i/>
                      <w:sz w:val="24"/>
                    </w:rPr>
                  </m:ctrlPr>
                </m:sub>
              </m:sSub>
              <m:ctrlPr>
                <w:rPr>
                  <w:rFonts w:ascii="Cambria Math" w:hAnsi="Cambria Math"/>
                  <w:i/>
                  <w:sz w:val="24"/>
                </w:rPr>
              </m:ctrlPr>
            </m:den>
          </m:f>
          <m:r>
            <m:rPr/>
            <w:rPr>
              <w:rFonts w:ascii="Cambria Math" w:hAnsi="Cambria Math"/>
              <w:sz w:val="24"/>
            </w:rPr>
            <m:t>−0.35]</m:t>
          </m:r>
        </m:oMath>
      </m:oMathPara>
    </w:p>
    <w:p w14:paraId="44D0CA16">
      <w:pPr>
        <w:widowControl/>
        <w:spacing w:line="360" w:lineRule="auto"/>
        <w:rPr>
          <w:sz w:val="24"/>
          <w:szCs w:val="24"/>
        </w:rPr>
      </w:pPr>
      <w:r>
        <w:rPr>
          <w:sz w:val="24"/>
          <w:szCs w:val="24"/>
        </w:rPr>
        <w:t>式中：σ为斯蒂芬-玻尔兹曼（Stefan-Boltzmann）常数，σ=4.0930×10</w:t>
      </w:r>
      <w:r>
        <w:rPr>
          <w:sz w:val="24"/>
          <w:szCs w:val="24"/>
          <w:vertAlign w:val="superscript"/>
        </w:rPr>
        <w:t>9</w:t>
      </w:r>
      <w:r>
        <w:rPr>
          <w:sz w:val="24"/>
          <w:szCs w:val="24"/>
        </w:rPr>
        <w:t xml:space="preserve"> MJ·K</w:t>
      </w:r>
      <w:r>
        <w:rPr>
          <w:sz w:val="24"/>
          <w:szCs w:val="24"/>
          <w:vertAlign w:val="superscript"/>
        </w:rPr>
        <w:t>-4</w:t>
      </w:r>
      <w:r>
        <w:rPr>
          <w:sz w:val="24"/>
          <w:szCs w:val="24"/>
        </w:rPr>
        <w:t>·m</w:t>
      </w:r>
      <w:r>
        <w:rPr>
          <w:sz w:val="24"/>
          <w:szCs w:val="24"/>
          <w:vertAlign w:val="superscript"/>
        </w:rPr>
        <w:t>2</w:t>
      </w:r>
      <w:r>
        <w:rPr>
          <w:sz w:val="24"/>
          <w:szCs w:val="24"/>
        </w:rPr>
        <w:t>·d</w:t>
      </w:r>
      <w:r>
        <w:rPr>
          <w:sz w:val="24"/>
          <w:szCs w:val="24"/>
          <w:vertAlign w:val="superscript"/>
        </w:rPr>
        <w:t>-1</w:t>
      </w:r>
      <w:r>
        <w:rPr>
          <w:sz w:val="24"/>
          <w:szCs w:val="24"/>
        </w:rPr>
        <w:t>，T</w:t>
      </w:r>
      <w:r>
        <w:rPr>
          <w:sz w:val="24"/>
          <w:szCs w:val="24"/>
          <w:vertAlign w:val="subscript"/>
        </w:rPr>
        <w:t>max</w:t>
      </w:r>
      <w:r>
        <w:rPr>
          <w:sz w:val="24"/>
          <w:szCs w:val="24"/>
        </w:rPr>
        <w:t>,</w:t>
      </w:r>
      <w:r>
        <w:rPr>
          <w:sz w:val="24"/>
          <w:szCs w:val="24"/>
          <w:vertAlign w:val="subscript"/>
        </w:rPr>
        <w:t>K</w:t>
      </w:r>
      <w:r>
        <w:rPr>
          <w:sz w:val="24"/>
          <w:szCs w:val="24"/>
        </w:rPr>
        <w:t>为最高绝对温度值，K，T</w:t>
      </w:r>
      <w:r>
        <w:rPr>
          <w:sz w:val="24"/>
          <w:szCs w:val="24"/>
          <w:vertAlign w:val="subscript"/>
        </w:rPr>
        <w:t>min,K</w:t>
      </w:r>
      <w:r>
        <w:rPr>
          <w:sz w:val="24"/>
          <w:szCs w:val="24"/>
        </w:rPr>
        <w:t>为最低绝对温度，K；ea为实际水气压，kPa；Rso为晴空辐射，MJ·m</w:t>
      </w:r>
      <w:r>
        <w:rPr>
          <w:sz w:val="24"/>
          <w:szCs w:val="24"/>
          <w:vertAlign w:val="superscript"/>
        </w:rPr>
        <w:t>2</w:t>
      </w:r>
      <w:r>
        <w:rPr>
          <w:sz w:val="24"/>
          <w:szCs w:val="24"/>
        </w:rPr>
        <w:t>·d</w:t>
      </w:r>
      <w:r>
        <w:rPr>
          <w:sz w:val="24"/>
          <w:szCs w:val="24"/>
          <w:vertAlign w:val="superscript"/>
        </w:rPr>
        <w:t>-1</w:t>
      </w:r>
      <w:r>
        <w:rPr>
          <w:sz w:val="24"/>
          <w:szCs w:val="24"/>
        </w:rPr>
        <w:t>。</w:t>
      </w:r>
    </w:p>
    <w:p w14:paraId="18E584D6">
      <w:pPr>
        <w:widowControl/>
        <w:adjustRightInd w:val="0"/>
        <w:snapToGrid w:val="0"/>
        <w:spacing w:line="360" w:lineRule="auto"/>
        <w:ind w:firstLine="480" w:firstLineChars="200"/>
        <w:rPr>
          <w:sz w:val="24"/>
          <w:szCs w:val="24"/>
        </w:rPr>
      </w:pPr>
      <w:r>
        <w:rPr>
          <w:sz w:val="24"/>
          <w:szCs w:val="24"/>
        </w:rPr>
        <w:t>晴空辐射计算公式：</w:t>
      </w:r>
    </w:p>
    <w:p w14:paraId="3825CD39">
      <w:pPr>
        <w:widowControl/>
        <w:adjustRightInd w:val="0"/>
        <w:snapToGrid w:val="0"/>
        <w:spacing w:line="360" w:lineRule="auto"/>
        <w:jc w:val="center"/>
        <w:rPr>
          <w:sz w:val="24"/>
          <w:szCs w:val="24"/>
        </w:rPr>
      </w:pPr>
      <w:r>
        <w:rPr>
          <w:sz w:val="24"/>
          <w:szCs w:val="24"/>
        </w:rPr>
        <w:t>Rso=(0.75+2×10</w:t>
      </w:r>
      <w:r>
        <w:rPr>
          <w:sz w:val="24"/>
          <w:szCs w:val="24"/>
          <w:vertAlign w:val="superscript"/>
        </w:rPr>
        <w:t>-5</w:t>
      </w:r>
      <w:r>
        <w:rPr>
          <w:sz w:val="24"/>
          <w:szCs w:val="24"/>
        </w:rPr>
        <w:t>Z)Ra</w:t>
      </w:r>
    </w:p>
    <w:p w14:paraId="1D3EE87D">
      <w:pPr>
        <w:widowControl/>
        <w:adjustRightInd w:val="0"/>
        <w:snapToGrid w:val="0"/>
        <w:spacing w:line="360" w:lineRule="auto"/>
        <w:jc w:val="left"/>
        <w:rPr>
          <w:sz w:val="24"/>
          <w:szCs w:val="24"/>
        </w:rPr>
      </w:pPr>
      <w:r>
        <w:rPr>
          <w:sz w:val="24"/>
          <w:szCs w:val="24"/>
        </w:rPr>
        <w:t>式中：Z为观测海拔，m。</w:t>
      </w:r>
    </w:p>
    <w:p w14:paraId="1169C2A7">
      <w:pPr>
        <w:widowControl/>
        <w:adjustRightInd w:val="0"/>
        <w:snapToGrid w:val="0"/>
        <w:spacing w:line="360" w:lineRule="auto"/>
        <w:ind w:firstLine="480" w:firstLineChars="200"/>
        <w:jc w:val="left"/>
        <w:rPr>
          <w:sz w:val="24"/>
          <w:szCs w:val="24"/>
        </w:rPr>
      </w:pPr>
      <w:r>
        <w:rPr>
          <w:sz w:val="24"/>
          <w:szCs w:val="24"/>
        </w:rPr>
        <w:t>相对于参考作物蒸散量，土壤热通量其值可以忽略，所以G≈0</w:t>
      </w:r>
    </w:p>
    <w:p w14:paraId="215D3FD6">
      <w:pPr>
        <w:widowControl/>
        <w:adjustRightInd w:val="0"/>
        <w:snapToGrid w:val="0"/>
        <w:spacing w:line="360" w:lineRule="auto"/>
        <w:ind w:firstLine="480" w:firstLineChars="200"/>
        <w:jc w:val="left"/>
        <w:rPr>
          <w:sz w:val="24"/>
          <w:szCs w:val="24"/>
        </w:rPr>
      </w:pPr>
      <w:r>
        <w:rPr>
          <w:sz w:val="24"/>
          <w:szCs w:val="24"/>
        </w:rPr>
        <w:t>湿度表常数计算公式：</w:t>
      </w:r>
    </w:p>
    <w:p w14:paraId="1166ACF1">
      <w:pPr>
        <w:widowControl/>
        <w:adjustRightInd w:val="0"/>
        <w:snapToGrid w:val="0"/>
        <w:spacing w:line="360" w:lineRule="auto"/>
        <w:jc w:val="center"/>
        <w:rPr>
          <w:sz w:val="24"/>
          <w:szCs w:val="24"/>
        </w:rPr>
      </w:pPr>
      <m:oMathPara>
        <m:oMathParaPr>
          <m:jc m:val="center"/>
        </m:oMathParaPr>
        <m:oMath>
          <m:r>
            <m:rPr/>
            <w:rPr>
              <w:rFonts w:ascii="Cambria Math" w:hAnsi="Cambria Math" w:eastAsia="黑体"/>
              <w:sz w:val="24"/>
            </w:rPr>
            <m:t>△</m:t>
          </m:r>
          <m:r>
            <m:rP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p</m:t>
                  </m:r>
                  <m:ctrlPr>
                    <w:rPr>
                      <w:rFonts w:ascii="Cambria Math" w:hAnsi="Cambria Math"/>
                      <w:i/>
                      <w:sz w:val="24"/>
                    </w:rPr>
                  </m:ctrlPr>
                </m:sub>
              </m:sSub>
              <m:r>
                <m:rPr/>
                <w:rPr>
                  <w:rFonts w:ascii="Cambria Math" w:hAnsi="Cambria Math"/>
                  <w:sz w:val="24"/>
                </w:rPr>
                <m:t>P</m:t>
              </m:r>
              <m:ctrlPr>
                <w:rPr>
                  <w:rFonts w:ascii="Cambria Math" w:hAnsi="Cambria Math"/>
                  <w:i/>
                  <w:sz w:val="24"/>
                </w:rPr>
              </m:ctrlPr>
            </m:num>
            <m:den>
              <m:r>
                <m:rPr>
                  <m:sty m:val="p"/>
                </m:rPr>
                <w:rPr>
                  <w:rFonts w:ascii="Cambria Math" w:hAnsi="Cambria Math"/>
                  <w:sz w:val="24"/>
                </w:rPr>
                <w:sym w:font="Symbol" w:char="F065"/>
              </m:r>
              <m:r>
                <m:rPr>
                  <m:sty m:val="p"/>
                </m:rPr>
                <w:rPr>
                  <w:rFonts w:ascii="Cambria Math" w:hAnsi="Cambria Math"/>
                  <w:sz w:val="24"/>
                </w:rPr>
                <w:sym w:font="Symbol" w:char="F06C"/>
              </m:r>
              <m:ctrlPr>
                <w:rPr>
                  <w:rFonts w:ascii="Cambria Math" w:hAnsi="Cambria Math"/>
                  <w:i/>
                  <w:sz w:val="24"/>
                </w:rPr>
              </m:ctrlPr>
            </m:den>
          </m:f>
          <m:r>
            <m:rPr/>
            <w:rPr>
              <w:rFonts w:ascii="Cambria Math" w:hAnsi="Cambria Math"/>
              <w:sz w:val="24"/>
            </w:rPr>
            <m:t>=0.665×</m:t>
          </m:r>
          <m:sSup>
            <m:sSupPr>
              <m:ctrlPr>
                <w:rPr>
                  <w:rFonts w:ascii="Cambria Math" w:hAnsi="Cambria Math"/>
                  <w:i/>
                  <w:sz w:val="24"/>
                </w:rPr>
              </m:ctrlPr>
            </m:sSupPr>
            <m:e>
              <m:r>
                <m:rPr/>
                <w:rPr>
                  <w:rFonts w:ascii="Cambria Math" w:hAnsi="Cambria Math"/>
                  <w:sz w:val="24"/>
                </w:rPr>
                <m:t>10</m:t>
              </m:r>
              <m:ctrlPr>
                <w:rPr>
                  <w:rFonts w:ascii="Cambria Math" w:hAnsi="Cambria Math"/>
                  <w:i/>
                  <w:sz w:val="24"/>
                </w:rPr>
              </m:ctrlPr>
            </m:e>
            <m:sup>
              <m:r>
                <m:rPr/>
                <w:rPr>
                  <w:rFonts w:ascii="Cambria Math" w:hAnsi="Cambria Math"/>
                  <w:sz w:val="24"/>
                </w:rPr>
                <m:t>−3</m:t>
              </m:r>
              <m:ctrlPr>
                <w:rPr>
                  <w:rFonts w:ascii="Cambria Math" w:hAnsi="Cambria Math"/>
                  <w:i/>
                  <w:sz w:val="24"/>
                </w:rPr>
              </m:ctrlPr>
            </m:sup>
          </m:sSup>
          <m:r>
            <m:rPr/>
            <w:rPr>
              <w:rFonts w:ascii="Cambria Math" w:hAnsi="Cambria Math"/>
              <w:sz w:val="24"/>
            </w:rPr>
            <m:t>P</m:t>
          </m:r>
        </m:oMath>
      </m:oMathPara>
    </w:p>
    <w:p w14:paraId="2B0555DF">
      <w:pPr>
        <w:widowControl/>
        <w:adjustRightInd w:val="0"/>
        <w:snapToGrid w:val="0"/>
        <w:spacing w:line="360" w:lineRule="auto"/>
        <w:rPr>
          <w:sz w:val="24"/>
          <w:szCs w:val="24"/>
        </w:rPr>
      </w:pPr>
      <w:r>
        <w:rPr>
          <w:sz w:val="24"/>
          <w:szCs w:val="24"/>
        </w:rPr>
        <w:t>式中：cp为定压比热，一般取值1.013×10-3，MJ·kg</w:t>
      </w:r>
      <w:r>
        <w:rPr>
          <w:sz w:val="24"/>
          <w:szCs w:val="24"/>
          <w:vertAlign w:val="superscript"/>
        </w:rPr>
        <w:t>2</w:t>
      </w:r>
      <w:r>
        <w:rPr>
          <w:sz w:val="24"/>
          <w:szCs w:val="24"/>
        </w:rPr>
        <w:t>·℃</w:t>
      </w:r>
      <w:r>
        <w:rPr>
          <w:sz w:val="24"/>
          <w:szCs w:val="24"/>
          <w:vertAlign w:val="superscript"/>
        </w:rPr>
        <w:t>-1</w:t>
      </w:r>
      <w:r>
        <w:rPr>
          <w:sz w:val="24"/>
          <w:szCs w:val="24"/>
        </w:rPr>
        <w:t>；</w:t>
      </w:r>
      <w:r>
        <w:rPr>
          <w:sz w:val="24"/>
          <w:szCs w:val="24"/>
        </w:rPr>
        <w:sym w:font="Symbol" w:char="F065"/>
      </w:r>
      <w:r>
        <w:rPr>
          <w:sz w:val="24"/>
          <w:szCs w:val="24"/>
        </w:rPr>
        <w:t>为水汽与干空气的比率，</w:t>
      </w:r>
      <w:r>
        <w:rPr>
          <w:sz w:val="24"/>
          <w:szCs w:val="24"/>
        </w:rPr>
        <w:sym w:font="Symbol" w:char="F065"/>
      </w:r>
      <w:r>
        <w:rPr>
          <w:sz w:val="24"/>
          <w:szCs w:val="24"/>
        </w:rPr>
        <w:t>=0.6222；</w:t>
      </w:r>
      <w:r>
        <w:rPr>
          <w:sz w:val="24"/>
          <w:szCs w:val="24"/>
        </w:rPr>
        <w:sym w:font="Symbol" w:char="F06C"/>
      </w:r>
      <w:r>
        <w:rPr>
          <w:sz w:val="24"/>
          <w:szCs w:val="24"/>
        </w:rPr>
        <w:t>为汽化潜热，一般取2.45，MJ·kg</w:t>
      </w:r>
      <w:r>
        <w:rPr>
          <w:sz w:val="24"/>
          <w:szCs w:val="24"/>
          <w:vertAlign w:val="superscript"/>
        </w:rPr>
        <w:t>-1</w:t>
      </w:r>
      <w:r>
        <w:rPr>
          <w:sz w:val="24"/>
          <w:szCs w:val="24"/>
        </w:rPr>
        <w:t>。</w:t>
      </w:r>
    </w:p>
    <w:p w14:paraId="06BC07F5">
      <w:pPr>
        <w:widowControl/>
        <w:adjustRightInd w:val="0"/>
        <w:snapToGrid w:val="0"/>
        <w:spacing w:line="360" w:lineRule="auto"/>
        <w:ind w:firstLine="480" w:firstLineChars="200"/>
        <w:jc w:val="left"/>
        <w:rPr>
          <w:sz w:val="24"/>
          <w:szCs w:val="24"/>
        </w:rPr>
      </w:pPr>
      <w:r>
        <w:rPr>
          <w:sz w:val="24"/>
          <w:szCs w:val="24"/>
        </w:rPr>
        <w:t>2m高处平均气温计算公式：</w:t>
      </w:r>
    </w:p>
    <w:p w14:paraId="768A0177">
      <w:pPr>
        <w:widowControl/>
        <w:adjustRightInd w:val="0"/>
        <w:snapToGrid w:val="0"/>
        <w:spacing w:line="360" w:lineRule="auto"/>
        <w:jc w:val="center"/>
        <w:rPr>
          <w:sz w:val="24"/>
          <w:szCs w:val="24"/>
        </w:rPr>
      </w:pPr>
      <m:oMathPara>
        <m:oMathParaPr>
          <m:jc m:val="center"/>
        </m:oMathParaPr>
        <m:oMath>
          <m:r>
            <m:rPr/>
            <w:rPr>
              <w:rFonts w:ascii="Cambria Math" w:hAnsi="Cambria Math"/>
              <w:sz w:val="24"/>
            </w:rPr>
            <m:t>T=</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max</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min</m:t>
                  </m:r>
                  <m:ctrlPr>
                    <w:rPr>
                      <w:rFonts w:ascii="Cambria Math" w:hAnsi="Cambria Math"/>
                      <w:i/>
                      <w:sz w:val="24"/>
                    </w:rPr>
                  </m:ctrlPr>
                </m:sub>
              </m:sSub>
              <m:ctrlPr>
                <w:rPr>
                  <w:rFonts w:ascii="Cambria Math" w:hAnsi="Cambria Math"/>
                  <w:i/>
                  <w:sz w:val="24"/>
                </w:rPr>
              </m:ctrlPr>
            </m:num>
            <m:den>
              <m:r>
                <m:rPr>
                  <m:sty m:val="p"/>
                </m:rPr>
                <w:rPr>
                  <w:rFonts w:ascii="Cambria Math" w:hAnsi="Cambria Math"/>
                  <w:sz w:val="24"/>
                </w:rPr>
                <m:t>2</m:t>
              </m:r>
              <m:ctrlPr>
                <w:rPr>
                  <w:rFonts w:ascii="Cambria Math" w:hAnsi="Cambria Math"/>
                  <w:i/>
                  <w:sz w:val="24"/>
                </w:rPr>
              </m:ctrlPr>
            </m:den>
          </m:f>
        </m:oMath>
      </m:oMathPara>
    </w:p>
    <w:p w14:paraId="27672CAA">
      <w:pPr>
        <w:widowControl/>
        <w:adjustRightInd w:val="0"/>
        <w:snapToGrid w:val="0"/>
        <w:spacing w:line="360" w:lineRule="auto"/>
        <w:jc w:val="left"/>
        <w:rPr>
          <w:sz w:val="24"/>
          <w:szCs w:val="24"/>
        </w:rPr>
      </w:pPr>
      <w:r>
        <w:rPr>
          <w:sz w:val="24"/>
          <w:szCs w:val="24"/>
        </w:rPr>
        <w:t>式中：</w:t>
      </w:r>
      <w:r>
        <w:rPr>
          <w:i/>
          <w:iCs/>
          <w:sz w:val="24"/>
          <w:szCs w:val="24"/>
        </w:rPr>
        <w:t>T</w:t>
      </w:r>
      <w:r>
        <w:rPr>
          <w:i/>
          <w:iCs/>
          <w:sz w:val="24"/>
          <w:szCs w:val="24"/>
          <w:vertAlign w:val="subscript"/>
        </w:rPr>
        <w:t>max</w:t>
      </w:r>
      <w:r>
        <w:rPr>
          <w:sz w:val="24"/>
          <w:szCs w:val="24"/>
        </w:rPr>
        <w:t>为日最高气温，℃；</w:t>
      </w:r>
      <w:r>
        <w:rPr>
          <w:i/>
          <w:iCs/>
          <w:sz w:val="24"/>
          <w:szCs w:val="24"/>
        </w:rPr>
        <w:t>T</w:t>
      </w:r>
      <w:r>
        <w:rPr>
          <w:i/>
          <w:iCs/>
          <w:sz w:val="24"/>
          <w:szCs w:val="24"/>
          <w:vertAlign w:val="subscript"/>
        </w:rPr>
        <w:t>min</w:t>
      </w:r>
      <w:r>
        <w:rPr>
          <w:sz w:val="24"/>
          <w:szCs w:val="24"/>
        </w:rPr>
        <w:t>为日最低气温，℃。</w:t>
      </w:r>
    </w:p>
    <w:p w14:paraId="3C29481B">
      <w:pPr>
        <w:widowControl/>
        <w:adjustRightInd w:val="0"/>
        <w:snapToGrid w:val="0"/>
        <w:spacing w:line="360" w:lineRule="auto"/>
        <w:ind w:firstLine="480" w:firstLineChars="200"/>
        <w:jc w:val="left"/>
        <w:rPr>
          <w:sz w:val="24"/>
          <w:szCs w:val="24"/>
        </w:rPr>
      </w:pPr>
      <w:r>
        <w:rPr>
          <w:sz w:val="24"/>
          <w:szCs w:val="24"/>
        </w:rPr>
        <w:t>饱和水气压计算公式：</w:t>
      </w:r>
    </w:p>
    <w:p w14:paraId="16BFFF30">
      <w:pPr>
        <w:widowControl/>
        <w:adjustRightInd w:val="0"/>
        <w:snapToGrid w:val="0"/>
        <w:spacing w:line="360" w:lineRule="auto"/>
        <w:jc w:val="center"/>
        <w:rPr>
          <w:rStyle w:val="33"/>
          <w:sz w:val="24"/>
          <w:szCs w:val="24"/>
        </w:rPr>
      </w:pPr>
      <m:oMathPara>
        <m:oMath>
          <m:sSub>
            <m:sSubPr>
              <m:ctrlPr>
                <w:rPr>
                  <w:rFonts w:ascii="Cambria Math" w:hAnsi="Cambria Math" w:eastAsia="黑体"/>
                  <w:i/>
                  <w:sz w:val="24"/>
                </w:rPr>
              </m:ctrlPr>
            </m:sSubPr>
            <m:e>
              <m:r>
                <m:rPr/>
                <w:rPr>
                  <w:rFonts w:ascii="Cambria Math" w:hAnsi="Cambria Math" w:eastAsia="黑体"/>
                  <w:sz w:val="24"/>
                </w:rPr>
                <m:t>e</m:t>
              </m:r>
              <m:ctrlPr>
                <w:rPr>
                  <w:rFonts w:ascii="Cambria Math" w:hAnsi="Cambria Math" w:eastAsia="黑体"/>
                  <w:i/>
                  <w:sz w:val="24"/>
                </w:rPr>
              </m:ctrlPr>
            </m:e>
            <m:sub>
              <m:r>
                <m:rPr/>
                <w:rPr>
                  <w:rFonts w:ascii="Cambria Math" w:hAnsi="Cambria Math" w:eastAsia="黑体"/>
                  <w:sz w:val="24"/>
                </w:rPr>
                <m:t>s</m:t>
              </m:r>
              <m:ctrlPr>
                <w:rPr>
                  <w:rFonts w:ascii="Cambria Math" w:hAnsi="Cambria Math" w:eastAsia="黑体"/>
                  <w:i/>
                  <w:sz w:val="24"/>
                </w:rPr>
              </m:ctrlPr>
            </m:sub>
          </m:sSub>
          <m:r>
            <m:rPr/>
            <w:rPr>
              <w:rFonts w:ascii="Cambria Math" w:hAnsi="Cambria Math"/>
              <w:sz w:val="24"/>
            </w:rPr>
            <m:t>=</m:t>
          </m:r>
          <m:f>
            <m:fPr>
              <m:ctrlPr>
                <w:rPr>
                  <w:rFonts w:ascii="Cambria Math" w:hAnsi="Cambria Math"/>
                  <w:i/>
                  <w:sz w:val="24"/>
                </w:rPr>
              </m:ctrlPr>
            </m:fPr>
            <m:num>
              <m:sSup>
                <m:sSupPr>
                  <m:ctrlPr>
                    <w:rPr>
                      <w:rFonts w:ascii="Cambria Math" w:hAnsi="Cambria Math"/>
                      <w:i/>
                      <w:sz w:val="24"/>
                    </w:rPr>
                  </m:ctrlPr>
                </m:sSupPr>
                <m:e>
                  <m:r>
                    <m:rPr/>
                    <w:rPr>
                      <w:rFonts w:ascii="Cambria Math" w:hAnsi="Cambria Math"/>
                      <w:sz w:val="24"/>
                    </w:rPr>
                    <m:t>e</m:t>
                  </m:r>
                  <m:ctrlPr>
                    <w:rPr>
                      <w:rFonts w:ascii="Cambria Math" w:hAnsi="Cambria Math"/>
                      <w:i/>
                      <w:sz w:val="24"/>
                    </w:rPr>
                  </m:ctrlPr>
                </m:e>
                <m:sup>
                  <m:r>
                    <m:rPr/>
                    <w:rPr>
                      <w:rFonts w:ascii="Cambria Math" w:hAnsi="Cambria Math"/>
                      <w:sz w:val="24"/>
                    </w:rPr>
                    <m:t>0</m:t>
                  </m:r>
                  <m:ctrlPr>
                    <w:rPr>
                      <w:rFonts w:ascii="Cambria Math" w:hAnsi="Cambria Math"/>
                      <w:i/>
                      <w:sz w:val="24"/>
                    </w:rPr>
                  </m:ctrlPr>
                </m:sup>
              </m:sSup>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max</m:t>
                      </m:r>
                      <m:ctrlPr>
                        <w:rPr>
                          <w:rFonts w:ascii="Cambria Math" w:hAnsi="Cambria Math"/>
                          <w:i/>
                          <w:sz w:val="24"/>
                        </w:rPr>
                      </m:ctrlPr>
                    </m:sub>
                  </m:sSub>
                  <m:ctrlPr>
                    <w:rPr>
                      <w:rFonts w:ascii="Cambria Math" w:hAnsi="Cambria Math"/>
                      <w:i/>
                      <w:sz w:val="24"/>
                    </w:rPr>
                  </m:ctrlPr>
                </m:e>
              </m:d>
              <m:r>
                <m:rPr/>
                <w:rPr>
                  <w:rFonts w:ascii="Cambria Math" w:hAnsi="Cambria Math"/>
                  <w:sz w:val="24"/>
                </w:rPr>
                <m:t>+</m:t>
              </m:r>
              <m:sSup>
                <m:sSupPr>
                  <m:ctrlPr>
                    <w:rPr>
                      <w:rFonts w:ascii="Cambria Math" w:hAnsi="Cambria Math"/>
                      <w:i/>
                      <w:sz w:val="24"/>
                    </w:rPr>
                  </m:ctrlPr>
                </m:sSupPr>
                <m:e>
                  <m:r>
                    <m:rPr/>
                    <w:rPr>
                      <w:rFonts w:ascii="Cambria Math" w:hAnsi="Cambria Math"/>
                      <w:sz w:val="24"/>
                    </w:rPr>
                    <m:t>e</m:t>
                  </m:r>
                  <m:ctrlPr>
                    <w:rPr>
                      <w:rFonts w:ascii="Cambria Math" w:hAnsi="Cambria Math"/>
                      <w:i/>
                      <w:sz w:val="24"/>
                    </w:rPr>
                  </m:ctrlPr>
                </m:e>
                <m:sup>
                  <m:r>
                    <m:rPr/>
                    <w:rPr>
                      <w:rFonts w:ascii="Cambria Math" w:hAnsi="Cambria Math"/>
                      <w:sz w:val="24"/>
                    </w:rPr>
                    <m:t>0</m:t>
                  </m:r>
                  <m:ctrlPr>
                    <w:rPr>
                      <w:rFonts w:ascii="Cambria Math" w:hAnsi="Cambria Math"/>
                      <w:i/>
                      <w:sz w:val="24"/>
                    </w:rPr>
                  </m:ctrlPr>
                </m:sup>
              </m:sSup>
              <m:r>
                <m:rPr/>
                <w:rPr>
                  <w:rFonts w:ascii="Cambria Math" w:hAnsi="Cambria Math"/>
                  <w:sz w:val="24"/>
                </w:rPr>
                <m:t>(</m:t>
              </m:r>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min</m:t>
                  </m:r>
                  <m:ctrlPr>
                    <w:rPr>
                      <w:rFonts w:ascii="Cambria Math" w:hAnsi="Cambria Math"/>
                      <w:i/>
                      <w:sz w:val="24"/>
                    </w:rPr>
                  </m:ctrlPr>
                </m:sub>
              </m:sSub>
              <m:r>
                <m:rPr/>
                <w:rPr>
                  <w:rFonts w:ascii="Cambria Math" w:hAnsi="Cambria Math"/>
                  <w:sz w:val="24"/>
                </w:rPr>
                <m:t>)</m:t>
              </m:r>
              <m:ctrlPr>
                <w:rPr>
                  <w:rFonts w:ascii="Cambria Math" w:hAnsi="Cambria Math"/>
                  <w:i/>
                  <w:sz w:val="24"/>
                </w:rPr>
              </m:ctrlPr>
            </m:num>
            <m:den>
              <m:r>
                <m:rPr>
                  <m:sty m:val="p"/>
                </m:rPr>
                <w:rPr>
                  <w:rFonts w:ascii="Cambria Math" w:hAnsi="Cambria Math"/>
                  <w:sz w:val="24"/>
                </w:rPr>
                <m:t>2</m:t>
              </m:r>
              <m:ctrlPr>
                <w:rPr>
                  <w:rFonts w:ascii="Cambria Math" w:hAnsi="Cambria Math"/>
                  <w:i/>
                  <w:sz w:val="24"/>
                </w:rPr>
              </m:ctrlPr>
            </m:den>
          </m:f>
        </m:oMath>
      </m:oMathPara>
    </w:p>
    <w:p w14:paraId="5EADA3EF">
      <w:pPr>
        <w:widowControl/>
        <w:adjustRightInd w:val="0"/>
        <w:snapToGrid w:val="0"/>
        <w:spacing w:line="360" w:lineRule="auto"/>
        <w:jc w:val="left"/>
        <w:rPr>
          <w:sz w:val="24"/>
          <w:szCs w:val="24"/>
        </w:rPr>
      </w:pPr>
      <w:r>
        <w:rPr>
          <w:sz w:val="24"/>
          <w:szCs w:val="24"/>
        </w:rPr>
        <w:t>式中：e</w:t>
      </w:r>
      <w:r>
        <w:rPr>
          <w:sz w:val="24"/>
          <w:szCs w:val="24"/>
          <w:vertAlign w:val="superscript"/>
        </w:rPr>
        <w:t>0</w:t>
      </w:r>
      <w:r>
        <w:rPr>
          <w:i/>
          <w:iCs/>
          <w:sz w:val="24"/>
          <w:szCs w:val="24"/>
        </w:rPr>
        <w:t>(T</w:t>
      </w:r>
      <w:r>
        <w:rPr>
          <w:i/>
          <w:iCs/>
          <w:sz w:val="24"/>
          <w:szCs w:val="24"/>
          <w:vertAlign w:val="subscript"/>
        </w:rPr>
        <w:t>max</w:t>
      </w:r>
      <w:r>
        <w:rPr>
          <w:i/>
          <w:iCs/>
          <w:sz w:val="24"/>
          <w:szCs w:val="24"/>
        </w:rPr>
        <w:t>)</w:t>
      </w:r>
      <w:r>
        <w:rPr>
          <w:sz w:val="24"/>
          <w:szCs w:val="24"/>
        </w:rPr>
        <w:t>为日最高气温T时的水气压，℃；e</w:t>
      </w:r>
      <w:r>
        <w:rPr>
          <w:sz w:val="24"/>
          <w:szCs w:val="24"/>
          <w:vertAlign w:val="superscript"/>
        </w:rPr>
        <w:t>0</w:t>
      </w:r>
      <w:r>
        <w:rPr>
          <w:i/>
          <w:iCs/>
          <w:sz w:val="24"/>
          <w:szCs w:val="24"/>
        </w:rPr>
        <w:t>(T</w:t>
      </w:r>
      <w:r>
        <w:rPr>
          <w:i/>
          <w:iCs/>
          <w:sz w:val="24"/>
          <w:szCs w:val="24"/>
          <w:vertAlign w:val="subscript"/>
        </w:rPr>
        <w:t>min</w:t>
      </w:r>
      <w:r>
        <w:rPr>
          <w:i/>
          <w:iCs/>
          <w:sz w:val="24"/>
          <w:szCs w:val="24"/>
        </w:rPr>
        <w:t>)</w:t>
      </w:r>
      <w:r>
        <w:rPr>
          <w:sz w:val="24"/>
          <w:szCs w:val="24"/>
        </w:rPr>
        <w:t>为日最低气温T时的水气压，℃</w:t>
      </w:r>
    </w:p>
    <w:p w14:paraId="4676FD50">
      <w:pPr>
        <w:widowControl/>
        <w:adjustRightInd w:val="0"/>
        <w:snapToGrid w:val="0"/>
        <w:spacing w:line="360" w:lineRule="auto"/>
        <w:jc w:val="center"/>
        <w:rPr>
          <w:rStyle w:val="33"/>
          <w:sz w:val="24"/>
          <w:szCs w:val="24"/>
        </w:rPr>
      </w:pPr>
      <m:oMathPara>
        <m:oMath>
          <m:sSup>
            <m:sSupPr>
              <m:ctrlPr>
                <w:rPr>
                  <w:rFonts w:ascii="Cambria Math" w:hAnsi="Cambria Math" w:eastAsia="黑体"/>
                  <w:i/>
                  <w:sz w:val="24"/>
                </w:rPr>
              </m:ctrlPr>
            </m:sSupPr>
            <m:e>
              <m:r>
                <m:rPr/>
                <w:rPr>
                  <w:rFonts w:ascii="Cambria Math" w:hAnsi="Cambria Math" w:eastAsia="黑体"/>
                  <w:sz w:val="24"/>
                </w:rPr>
                <m:t>e</m:t>
              </m:r>
              <m:ctrlPr>
                <w:rPr>
                  <w:rFonts w:ascii="Cambria Math" w:hAnsi="Cambria Math" w:eastAsia="黑体"/>
                  <w:i/>
                  <w:sz w:val="24"/>
                </w:rPr>
              </m:ctrlPr>
            </m:e>
            <m:sup>
              <m:r>
                <m:rPr/>
                <w:rPr>
                  <w:rFonts w:ascii="Cambria Math" w:hAnsi="Cambria Math" w:eastAsia="黑体"/>
                  <w:sz w:val="24"/>
                </w:rPr>
                <m:t>o</m:t>
              </m:r>
              <m:ctrlPr>
                <w:rPr>
                  <w:rFonts w:ascii="Cambria Math" w:hAnsi="Cambria Math" w:eastAsia="黑体"/>
                  <w:i/>
                  <w:sz w:val="24"/>
                </w:rPr>
              </m:ctrlPr>
            </m:sup>
          </m:sSup>
          <m:r>
            <m:rPr/>
            <w:rPr>
              <w:rFonts w:ascii="Cambria Math" w:hAnsi="Cambria Math"/>
              <w:sz w:val="24"/>
            </w:rPr>
            <m:t>(T)=0.6108</m:t>
          </m:r>
          <m:r>
            <m:rPr>
              <m:sty m:val="p"/>
            </m:rPr>
            <w:rPr>
              <w:rFonts w:ascii="Cambria Math" w:hAnsi="Cambria Math"/>
              <w:sz w:val="24"/>
            </w:rPr>
            <m:t>exp⁡</m:t>
          </m:r>
          <m:r>
            <m:rPr/>
            <w:rPr>
              <w:rFonts w:ascii="Cambria Math" w:hAnsi="Cambria Math"/>
              <w:sz w:val="24"/>
            </w:rPr>
            <m:t>(</m:t>
          </m:r>
          <m:f>
            <m:fPr>
              <m:ctrlPr>
                <w:rPr>
                  <w:rFonts w:ascii="Cambria Math" w:hAnsi="Cambria Math"/>
                  <w:i/>
                  <w:sz w:val="24"/>
                </w:rPr>
              </m:ctrlPr>
            </m:fPr>
            <m:num>
              <m:r>
                <m:rPr/>
                <w:rPr>
                  <w:rFonts w:ascii="Cambria Math" w:hAnsi="Cambria Math"/>
                  <w:sz w:val="24"/>
                </w:rPr>
                <m:t>17.27T</m:t>
              </m:r>
              <m:ctrlPr>
                <w:rPr>
                  <w:rFonts w:ascii="Cambria Math" w:hAnsi="Cambria Math"/>
                  <w:i/>
                  <w:sz w:val="24"/>
                </w:rPr>
              </m:ctrlPr>
            </m:num>
            <m:den>
              <m:r>
                <m:rPr>
                  <m:sty m:val="p"/>
                </m:rPr>
                <w:rPr>
                  <w:rFonts w:ascii="Cambria Math" w:hAnsi="Cambria Math"/>
                  <w:sz w:val="24"/>
                </w:rPr>
                <m:t>T+237.3</m:t>
              </m:r>
              <m:ctrlPr>
                <w:rPr>
                  <w:rFonts w:ascii="Cambria Math" w:hAnsi="Cambria Math"/>
                  <w:i/>
                  <w:sz w:val="24"/>
                </w:rPr>
              </m:ctrlPr>
            </m:den>
          </m:f>
          <m:r>
            <m:rPr/>
            <w:rPr>
              <w:rFonts w:ascii="Cambria Math" w:hAnsi="Cambria Math"/>
              <w:sz w:val="24"/>
            </w:rPr>
            <m:t>)</m:t>
          </m:r>
        </m:oMath>
      </m:oMathPara>
    </w:p>
    <w:p w14:paraId="5DE0B8B5">
      <w:pPr>
        <w:widowControl/>
        <w:adjustRightInd w:val="0"/>
        <w:snapToGrid w:val="0"/>
        <w:spacing w:line="360" w:lineRule="auto"/>
        <w:jc w:val="left"/>
        <w:rPr>
          <w:sz w:val="24"/>
          <w:szCs w:val="24"/>
        </w:rPr>
      </w:pPr>
      <w:r>
        <w:rPr>
          <w:sz w:val="24"/>
          <w:szCs w:val="24"/>
        </w:rPr>
        <w:t>式中：</w:t>
      </w:r>
      <w:r>
        <w:rPr>
          <w:i/>
          <w:iCs/>
          <w:sz w:val="24"/>
          <w:szCs w:val="24"/>
        </w:rPr>
        <w:t>e</w:t>
      </w:r>
      <w:r>
        <w:rPr>
          <w:i/>
          <w:iCs/>
          <w:sz w:val="24"/>
          <w:szCs w:val="24"/>
          <w:vertAlign w:val="superscript"/>
        </w:rPr>
        <w:t>o</w:t>
      </w:r>
      <w:r>
        <w:rPr>
          <w:i/>
          <w:iCs/>
          <w:sz w:val="24"/>
          <w:szCs w:val="24"/>
        </w:rPr>
        <w:t>(T)</w:t>
      </w:r>
      <w:r>
        <w:rPr>
          <w:sz w:val="24"/>
          <w:szCs w:val="24"/>
        </w:rPr>
        <w:t>为气温在T时的饱和水气压，kpa。</w:t>
      </w:r>
    </w:p>
    <w:p w14:paraId="111ADF02">
      <w:pPr>
        <w:widowControl/>
        <w:adjustRightInd w:val="0"/>
        <w:snapToGrid w:val="0"/>
        <w:spacing w:line="360" w:lineRule="auto"/>
        <w:ind w:firstLine="480" w:firstLineChars="200"/>
        <w:jc w:val="left"/>
        <w:rPr>
          <w:sz w:val="24"/>
          <w:szCs w:val="24"/>
        </w:rPr>
      </w:pPr>
      <w:r>
        <w:rPr>
          <w:sz w:val="24"/>
          <w:szCs w:val="24"/>
        </w:rPr>
        <w:t>实际水气压计算公式：</w:t>
      </w:r>
    </w:p>
    <w:p w14:paraId="4EEA0EBE">
      <w:pPr>
        <w:widowControl/>
        <w:adjustRightInd w:val="0"/>
        <w:snapToGrid w:val="0"/>
        <w:spacing w:line="360" w:lineRule="auto"/>
        <w:jc w:val="center"/>
        <w:rPr>
          <w:rStyle w:val="33"/>
          <w:sz w:val="24"/>
          <w:szCs w:val="24"/>
        </w:rPr>
      </w:pPr>
      <m:oMathPara>
        <m:oMath>
          <m:sSub>
            <m:sSubPr>
              <m:ctrlPr>
                <w:rPr>
                  <w:rFonts w:ascii="Cambria Math" w:hAnsi="Cambria Math" w:eastAsia="黑体"/>
                  <w:i/>
                  <w:sz w:val="24"/>
                </w:rPr>
              </m:ctrlPr>
            </m:sSubPr>
            <m:e>
              <m:r>
                <m:rPr/>
                <w:rPr>
                  <w:rFonts w:ascii="Cambria Math" w:hAnsi="Cambria Math" w:eastAsia="黑体"/>
                  <w:sz w:val="24"/>
                </w:rPr>
                <m:t>e</m:t>
              </m:r>
              <m:ctrlPr>
                <w:rPr>
                  <w:rFonts w:ascii="Cambria Math" w:hAnsi="Cambria Math" w:eastAsia="黑体"/>
                  <w:i/>
                  <w:sz w:val="24"/>
                </w:rPr>
              </m:ctrlPr>
            </m:e>
            <m:sub>
              <m:r>
                <m:rPr/>
                <w:rPr>
                  <w:rFonts w:ascii="Cambria Math" w:hAnsi="Cambria Math" w:eastAsia="黑体"/>
                  <w:sz w:val="24"/>
                </w:rPr>
                <m:t>a</m:t>
              </m:r>
              <m:ctrlPr>
                <w:rPr>
                  <w:rFonts w:ascii="Cambria Math" w:hAnsi="Cambria Math" w:eastAsia="黑体"/>
                  <w:i/>
                  <w:sz w:val="24"/>
                </w:rPr>
              </m:ctrlPr>
            </m:sub>
          </m:sSub>
          <m:r>
            <m:rPr/>
            <w:rPr>
              <w:rFonts w:ascii="Cambria Math" w:hAnsi="Cambria Math"/>
              <w:sz w:val="24"/>
            </w:rPr>
            <m:t>=</m:t>
          </m:r>
          <m:f>
            <m:fPr>
              <m:ctrlPr>
                <w:rPr>
                  <w:rFonts w:ascii="Cambria Math" w:hAnsi="Cambria Math"/>
                  <w:i/>
                  <w:sz w:val="24"/>
                </w:rPr>
              </m:ctrlPr>
            </m:fPr>
            <m:num>
              <m:r>
                <m:rPr/>
                <w:rPr>
                  <w:rFonts w:ascii="Cambria Math" w:hAnsi="Cambria Math"/>
                  <w:sz w:val="24"/>
                </w:rPr>
                <m:t>R</m:t>
              </m:r>
              <m:sSub>
                <m:sSubPr>
                  <m:ctrlPr>
                    <w:rPr>
                      <w:rFonts w:ascii="Cambria Math" w:hAnsi="Cambria Math"/>
                      <w:i/>
                      <w:sz w:val="24"/>
                    </w:rPr>
                  </m:ctrlPr>
                </m:sSubPr>
                <m:e>
                  <m:r>
                    <m:rPr/>
                    <w:rPr>
                      <w:rFonts w:ascii="Cambria Math" w:hAnsi="Cambria Math"/>
                      <w:sz w:val="24"/>
                    </w:rPr>
                    <m:t>H</m:t>
                  </m:r>
                  <m:ctrlPr>
                    <w:rPr>
                      <w:rFonts w:ascii="Cambria Math" w:hAnsi="Cambria Math"/>
                      <w:i/>
                      <w:sz w:val="24"/>
                    </w:rPr>
                  </m:ctrlPr>
                </m:e>
                <m:sub>
                  <m:r>
                    <m:rPr/>
                    <w:rPr>
                      <w:rFonts w:ascii="Cambria Math" w:hAnsi="Cambria Math"/>
                      <w:sz w:val="24"/>
                    </w:rPr>
                    <m:t>mean</m:t>
                  </m:r>
                  <m:ctrlPr>
                    <w:rPr>
                      <w:rFonts w:ascii="Cambria Math" w:hAnsi="Cambria Math"/>
                      <w:i/>
                      <w:sz w:val="24"/>
                    </w:rPr>
                  </m:ctrlPr>
                </m:sub>
              </m:sSub>
              <m:ctrlPr>
                <w:rPr>
                  <w:rFonts w:ascii="Cambria Math" w:hAnsi="Cambria Math"/>
                  <w:i/>
                  <w:sz w:val="24"/>
                </w:rPr>
              </m:ctrlPr>
            </m:num>
            <m:den>
              <m:r>
                <m:rPr>
                  <m:sty m:val="p"/>
                </m:rPr>
                <w:rPr>
                  <w:rFonts w:ascii="Cambria Math" w:hAnsi="Cambria Math"/>
                  <w:sz w:val="24"/>
                </w:rPr>
                <m:t>100</m:t>
              </m:r>
              <m:ctrlPr>
                <w:rPr>
                  <w:rFonts w:ascii="Cambria Math" w:hAnsi="Cambria Math"/>
                  <w:i/>
                  <w:sz w:val="24"/>
                </w:rPr>
              </m:ctrlPr>
            </m:den>
          </m:f>
          <m:r>
            <m:rPr/>
            <w:rPr>
              <w:rFonts w:ascii="Cambria Math" w:hAnsi="Cambria Math"/>
              <w:sz w:val="24"/>
            </w:rPr>
            <m:t>[</m:t>
          </m:r>
          <m:f>
            <m:fPr>
              <m:ctrlPr>
                <w:rPr>
                  <w:rFonts w:ascii="Cambria Math" w:hAnsi="Cambria Math"/>
                  <w:i/>
                  <w:sz w:val="24"/>
                </w:rPr>
              </m:ctrlPr>
            </m:fPr>
            <m:num>
              <m:sSup>
                <m:sSupPr>
                  <m:ctrlPr>
                    <w:rPr>
                      <w:rFonts w:ascii="Cambria Math" w:hAnsi="Cambria Math"/>
                      <w:i/>
                      <w:sz w:val="24"/>
                    </w:rPr>
                  </m:ctrlPr>
                </m:sSupPr>
                <m:e>
                  <m:r>
                    <m:rPr/>
                    <w:rPr>
                      <w:rFonts w:ascii="Cambria Math" w:hAnsi="Cambria Math"/>
                      <w:sz w:val="24"/>
                    </w:rPr>
                    <m:t>e</m:t>
                  </m:r>
                  <m:ctrlPr>
                    <w:rPr>
                      <w:rFonts w:ascii="Cambria Math" w:hAnsi="Cambria Math"/>
                      <w:i/>
                      <w:sz w:val="24"/>
                    </w:rPr>
                  </m:ctrlPr>
                </m:e>
                <m:sup>
                  <m:r>
                    <m:rPr/>
                    <w:rPr>
                      <w:rFonts w:ascii="Cambria Math" w:hAnsi="Cambria Math"/>
                      <w:sz w:val="24"/>
                    </w:rPr>
                    <m:t>0</m:t>
                  </m:r>
                  <m:ctrlPr>
                    <w:rPr>
                      <w:rFonts w:ascii="Cambria Math" w:hAnsi="Cambria Math"/>
                      <w:i/>
                      <w:sz w:val="24"/>
                    </w:rPr>
                  </m:ctrlPr>
                </m:sup>
              </m:sSup>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max</m:t>
                      </m:r>
                      <m:ctrlPr>
                        <w:rPr>
                          <w:rFonts w:ascii="Cambria Math" w:hAnsi="Cambria Math"/>
                          <w:i/>
                          <w:sz w:val="24"/>
                        </w:rPr>
                      </m:ctrlPr>
                    </m:sub>
                  </m:sSub>
                  <m:ctrlPr>
                    <w:rPr>
                      <w:rFonts w:ascii="Cambria Math" w:hAnsi="Cambria Math"/>
                      <w:i/>
                      <w:sz w:val="24"/>
                    </w:rPr>
                  </m:ctrlPr>
                </m:e>
              </m:d>
              <m:r>
                <m:rPr/>
                <w:rPr>
                  <w:rFonts w:ascii="Cambria Math" w:hAnsi="Cambria Math"/>
                  <w:sz w:val="24"/>
                </w:rPr>
                <m:t>+</m:t>
              </m:r>
              <m:sSup>
                <m:sSupPr>
                  <m:ctrlPr>
                    <w:rPr>
                      <w:rFonts w:ascii="Cambria Math" w:hAnsi="Cambria Math"/>
                      <w:i/>
                      <w:sz w:val="24"/>
                    </w:rPr>
                  </m:ctrlPr>
                </m:sSupPr>
                <m:e>
                  <m:r>
                    <m:rPr/>
                    <w:rPr>
                      <w:rFonts w:ascii="Cambria Math" w:hAnsi="Cambria Math"/>
                      <w:sz w:val="24"/>
                    </w:rPr>
                    <m:t>e</m:t>
                  </m:r>
                  <m:ctrlPr>
                    <w:rPr>
                      <w:rFonts w:ascii="Cambria Math" w:hAnsi="Cambria Math"/>
                      <w:i/>
                      <w:sz w:val="24"/>
                    </w:rPr>
                  </m:ctrlPr>
                </m:e>
                <m:sup>
                  <m:r>
                    <m:rPr/>
                    <w:rPr>
                      <w:rFonts w:ascii="Cambria Math" w:hAnsi="Cambria Math"/>
                      <w:sz w:val="24"/>
                    </w:rPr>
                    <m:t>0</m:t>
                  </m:r>
                  <m:ctrlPr>
                    <w:rPr>
                      <w:rFonts w:ascii="Cambria Math" w:hAnsi="Cambria Math"/>
                      <w:i/>
                      <w:sz w:val="24"/>
                    </w:rPr>
                  </m:ctrlPr>
                </m:sup>
              </m:sSup>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min</m:t>
                      </m:r>
                      <m:ctrlPr>
                        <w:rPr>
                          <w:rFonts w:ascii="Cambria Math" w:hAnsi="Cambria Math"/>
                          <w:i/>
                          <w:sz w:val="24"/>
                        </w:rPr>
                      </m:ctrlPr>
                    </m:sub>
                  </m:sSub>
                  <m:ctrlPr>
                    <w:rPr>
                      <w:rFonts w:ascii="Cambria Math" w:hAnsi="Cambria Math"/>
                      <w:i/>
                      <w:sz w:val="24"/>
                    </w:rPr>
                  </m:ctrlPr>
                </m:e>
              </m:d>
              <m:ctrlPr>
                <w:rPr>
                  <w:rFonts w:ascii="Cambria Math" w:hAnsi="Cambria Math"/>
                  <w:i/>
                  <w:sz w:val="24"/>
                </w:rPr>
              </m:ctrlPr>
            </m:num>
            <m:den>
              <m:r>
                <m:rPr/>
                <w:rPr>
                  <w:rFonts w:ascii="Cambria Math" w:hAnsi="Cambria Math"/>
                  <w:sz w:val="24"/>
                </w:rPr>
                <m:t>2</m:t>
              </m:r>
              <m:ctrlPr>
                <w:rPr>
                  <w:rFonts w:ascii="Cambria Math" w:hAnsi="Cambria Math"/>
                  <w:i/>
                  <w:sz w:val="24"/>
                </w:rPr>
              </m:ctrlPr>
            </m:den>
          </m:f>
          <m:r>
            <m:rPr/>
            <w:rPr>
              <w:rFonts w:ascii="Cambria Math" w:hAnsi="Cambria Math"/>
              <w:sz w:val="24"/>
            </w:rPr>
            <m:t>]</m:t>
          </m:r>
        </m:oMath>
      </m:oMathPara>
    </w:p>
    <w:p w14:paraId="04445FA6">
      <w:pPr>
        <w:widowControl/>
        <w:adjustRightInd w:val="0"/>
        <w:snapToGrid w:val="0"/>
        <w:spacing w:line="360" w:lineRule="auto"/>
        <w:jc w:val="left"/>
        <w:rPr>
          <w:sz w:val="24"/>
          <w:szCs w:val="24"/>
        </w:rPr>
      </w:pPr>
      <w:r>
        <w:rPr>
          <w:sz w:val="24"/>
          <w:szCs w:val="24"/>
        </w:rPr>
        <w:t>式中：</w:t>
      </w:r>
      <w:r>
        <w:rPr>
          <w:i/>
          <w:iCs/>
          <w:sz w:val="24"/>
          <w:szCs w:val="24"/>
        </w:rPr>
        <w:t>RH</w:t>
      </w:r>
      <w:r>
        <w:rPr>
          <w:i/>
          <w:iCs/>
          <w:sz w:val="24"/>
          <w:szCs w:val="24"/>
          <w:vertAlign w:val="subscript"/>
        </w:rPr>
        <w:t>mean</w:t>
      </w:r>
      <w:r>
        <w:rPr>
          <w:sz w:val="24"/>
          <w:szCs w:val="24"/>
        </w:rPr>
        <w:t>为平均相对湿度，%。</w:t>
      </w:r>
    </w:p>
    <w:p w14:paraId="4E1627DD">
      <w:pPr>
        <w:widowControl/>
        <w:adjustRightInd w:val="0"/>
        <w:snapToGrid w:val="0"/>
        <w:spacing w:line="360" w:lineRule="auto"/>
        <w:ind w:firstLine="480" w:firstLineChars="200"/>
        <w:jc w:val="left"/>
        <w:rPr>
          <w:sz w:val="24"/>
          <w:szCs w:val="24"/>
        </w:rPr>
      </w:pPr>
      <w:r>
        <w:rPr>
          <w:sz w:val="24"/>
          <w:szCs w:val="24"/>
        </w:rPr>
        <w:t>水分渗漏速率按下式确定：</w:t>
      </w:r>
    </w:p>
    <w:p w14:paraId="43042AD8">
      <w:pPr>
        <w:widowControl/>
        <w:adjustRightInd w:val="0"/>
        <w:snapToGrid w:val="0"/>
        <w:spacing w:line="360" w:lineRule="auto"/>
        <w:jc w:val="center"/>
        <w:rPr>
          <w:rStyle w:val="33"/>
          <w:sz w:val="24"/>
          <w:szCs w:val="24"/>
        </w:rPr>
      </w:pPr>
      <m:oMathPara>
        <m:oMath>
          <m:sSub>
            <m:sSubPr>
              <m:ctrlPr>
                <w:rPr>
                  <w:rFonts w:ascii="Cambria Math" w:hAnsi="Cambria Math"/>
                  <w:i/>
                  <w:iCs/>
                  <w:sz w:val="24"/>
                </w:rPr>
              </m:ctrlPr>
            </m:sSubPr>
            <m:e>
              <m:r>
                <m:rPr/>
                <w:rPr>
                  <w:rFonts w:ascii="Cambria Math" w:hAnsi="Cambria Math"/>
                  <w:sz w:val="24"/>
                </w:rPr>
                <m:t>f</m:t>
              </m:r>
              <m:ctrlPr>
                <w:rPr>
                  <w:rFonts w:ascii="Cambria Math" w:hAnsi="Cambria Math"/>
                  <w:i/>
                  <w:iCs/>
                  <w:sz w:val="24"/>
                </w:rPr>
              </m:ctrlPr>
            </m:e>
            <m:sub>
              <m:r>
                <m:rPr/>
                <w:rPr>
                  <w:rFonts w:ascii="Cambria Math" w:hAnsi="Cambria Math"/>
                  <w:sz w:val="24"/>
                </w:rPr>
                <m:t>i</m:t>
              </m:r>
              <m:ctrlPr>
                <w:rPr>
                  <w:rFonts w:ascii="Cambria Math" w:hAnsi="Cambria Math"/>
                  <w:i/>
                  <w:iCs/>
                  <w:sz w:val="24"/>
                </w:rPr>
              </m:ctrlPr>
            </m:sub>
          </m:sSub>
          <m:r>
            <m:rPr/>
            <w:rPr>
              <w:rFonts w:ascii="Cambria Math" w:hAnsi="Cambria Math"/>
              <w:sz w:val="24"/>
            </w:rPr>
            <m:t>=</m:t>
          </m:r>
          <m:sSub>
            <m:sSubPr>
              <m:ctrlPr>
                <w:rPr>
                  <w:rFonts w:ascii="Cambria Math" w:hAnsi="Cambria Math" w:eastAsia="黑体"/>
                  <w:i/>
                  <w:sz w:val="24"/>
                </w:rPr>
              </m:ctrlPr>
            </m:sSubPr>
            <m:e>
              <m:r>
                <m:rPr/>
                <w:rPr>
                  <w:rFonts w:ascii="Cambria Math" w:hAnsi="Cambria Math" w:eastAsia="黑体"/>
                  <w:sz w:val="24"/>
                </w:rPr>
                <m:t>R</m:t>
              </m:r>
              <m:ctrlPr>
                <w:rPr>
                  <w:rFonts w:ascii="Cambria Math" w:hAnsi="Cambria Math" w:eastAsia="黑体"/>
                  <w:i/>
                  <w:sz w:val="24"/>
                </w:rPr>
              </m:ctrlPr>
            </m:e>
            <m:sub>
              <m:r>
                <m:rPr/>
                <w:rPr>
                  <w:rFonts w:ascii="Cambria Math" w:hAnsi="Cambria Math" w:eastAsia="黑体"/>
                  <w:sz w:val="24"/>
                </w:rPr>
                <m:t>i</m:t>
              </m:r>
              <m:ctrlPr>
                <w:rPr>
                  <w:rFonts w:ascii="Cambria Math" w:hAnsi="Cambria Math" w:eastAsia="黑体"/>
                  <w:i/>
                  <w:sz w:val="24"/>
                </w:rPr>
              </m:ctrlPr>
            </m:sub>
          </m:sSub>
          <m:r>
            <m:rPr/>
            <w:rPr>
              <w:rFonts w:ascii="Cambria Math" w:hAnsi="Cambria Math" w:eastAsia="黑体"/>
              <w:sz w:val="24"/>
            </w:rPr>
            <m:t>−</m:t>
          </m:r>
          <m:sSub>
            <m:sSubPr>
              <m:ctrlPr>
                <w:rPr>
                  <w:rFonts w:ascii="Cambria Math" w:hAnsi="Cambria Math" w:eastAsia="黑体"/>
                  <w:i/>
                  <w:sz w:val="24"/>
                </w:rPr>
              </m:ctrlPr>
            </m:sSubPr>
            <m:e>
              <m:r>
                <m:rPr/>
                <w:rPr>
                  <w:rFonts w:ascii="Cambria Math" w:hAnsi="Cambria Math" w:eastAsia="黑体"/>
                  <w:sz w:val="24"/>
                </w:rPr>
                <m:t>d</m:t>
              </m:r>
              <m:ctrlPr>
                <w:rPr>
                  <w:rFonts w:ascii="Cambria Math" w:hAnsi="Cambria Math" w:eastAsia="黑体"/>
                  <w:i/>
                  <w:sz w:val="24"/>
                </w:rPr>
              </m:ctrlPr>
            </m:e>
            <m:sub>
              <m:r>
                <m:rPr/>
                <w:rPr>
                  <w:rFonts w:ascii="Cambria Math" w:hAnsi="Cambria Math" w:eastAsia="黑体"/>
                  <w:sz w:val="24"/>
                </w:rPr>
                <m:t>i</m:t>
              </m:r>
              <m:ctrlPr>
                <w:rPr>
                  <w:rFonts w:ascii="Cambria Math" w:hAnsi="Cambria Math" w:eastAsia="黑体"/>
                  <w:i/>
                  <w:sz w:val="24"/>
                </w:rPr>
              </m:ctrlPr>
            </m:sub>
          </m:sSub>
          <m:r>
            <m:rPr/>
            <w:rPr>
              <w:rFonts w:ascii="Cambria Math" w:hAnsi="Cambria Math" w:eastAsia="黑体"/>
              <w:sz w:val="24"/>
            </w:rPr>
            <m:t>−</m:t>
          </m:r>
          <m:sSub>
            <m:sSubPr>
              <m:ctrlPr>
                <w:rPr>
                  <w:rFonts w:ascii="Cambria Math" w:hAnsi="Cambria Math" w:eastAsia="黑体"/>
                  <w:i/>
                  <w:sz w:val="24"/>
                </w:rPr>
              </m:ctrlPr>
            </m:sSubPr>
            <m:e>
              <m:r>
                <m:rPr/>
                <w:rPr>
                  <w:rFonts w:ascii="Cambria Math" w:hAnsi="Cambria Math" w:eastAsia="黑体"/>
                  <w:sz w:val="24"/>
                </w:rPr>
                <m:t>ℎ</m:t>
              </m:r>
              <m:ctrlPr>
                <w:rPr>
                  <w:rFonts w:ascii="Cambria Math" w:hAnsi="Cambria Math" w:eastAsia="黑体"/>
                  <w:i/>
                  <w:sz w:val="24"/>
                </w:rPr>
              </m:ctrlPr>
            </m:e>
            <m:sub>
              <m:r>
                <m:rPr/>
                <w:rPr>
                  <w:rFonts w:ascii="Cambria Math" w:hAnsi="Cambria Math" w:eastAsia="黑体"/>
                  <w:sz w:val="24"/>
                </w:rPr>
                <m:t>i</m:t>
              </m:r>
              <m:ctrlPr>
                <w:rPr>
                  <w:rFonts w:ascii="Cambria Math" w:hAnsi="Cambria Math" w:eastAsia="黑体"/>
                  <w:i/>
                  <w:sz w:val="24"/>
                </w:rPr>
              </m:ctrlPr>
            </m:sub>
          </m:sSub>
          <m:r>
            <m:rPr/>
            <w:rPr>
              <w:rFonts w:ascii="Cambria Math" w:hAnsi="Cambria Math"/>
              <w:sz w:val="24"/>
            </w:rPr>
            <m:t>+</m:t>
          </m:r>
          <m:sSub>
            <m:sSubPr>
              <m:ctrlPr>
                <w:rPr>
                  <w:rFonts w:ascii="Cambria Math" w:hAnsi="Cambria Math" w:eastAsia="黑体"/>
                  <w:i/>
                  <w:sz w:val="24"/>
                </w:rPr>
              </m:ctrlPr>
            </m:sSubPr>
            <m:e>
              <m:r>
                <m:rPr/>
                <w:rPr>
                  <w:rFonts w:ascii="Cambria Math" w:hAnsi="Cambria Math" w:eastAsia="黑体"/>
                  <w:sz w:val="24"/>
                </w:rPr>
                <m:t>ℎ</m:t>
              </m:r>
              <m:ctrlPr>
                <w:rPr>
                  <w:rFonts w:ascii="Cambria Math" w:hAnsi="Cambria Math" w:eastAsia="黑体"/>
                  <w:i/>
                  <w:sz w:val="24"/>
                </w:rPr>
              </m:ctrlPr>
            </m:e>
            <m:sub>
              <m:r>
                <m:rPr/>
                <w:rPr>
                  <w:rFonts w:ascii="Cambria Math" w:hAnsi="Cambria Math" w:eastAsia="黑体"/>
                  <w:sz w:val="24"/>
                </w:rPr>
                <m:t>i−1</m:t>
              </m:r>
              <m:ctrlPr>
                <w:rPr>
                  <w:rFonts w:ascii="Cambria Math" w:hAnsi="Cambria Math" w:eastAsia="黑体"/>
                  <w:i/>
                  <w:sz w:val="24"/>
                </w:rPr>
              </m:ctrlPr>
            </m:sub>
          </m:sSub>
          <m:r>
            <m:rPr/>
            <w:rPr>
              <w:rFonts w:ascii="Cambria Math" w:hAnsi="Cambria Math" w:eastAsia="黑体"/>
              <w:sz w:val="24"/>
            </w:rPr>
            <m:t>−</m:t>
          </m:r>
          <m:sSub>
            <m:sSubPr>
              <m:ctrlPr>
                <w:rPr>
                  <w:rFonts w:ascii="Cambria Math" w:hAnsi="Cambria Math" w:eastAsia="黑体"/>
                  <w:i/>
                  <w:sz w:val="24"/>
                </w:rPr>
              </m:ctrlPr>
            </m:sSubPr>
            <m:e>
              <m:r>
                <m:rPr/>
                <w:rPr>
                  <w:rFonts w:ascii="Cambria Math" w:hAnsi="Cambria Math" w:eastAsia="黑体"/>
                  <w:sz w:val="24"/>
                </w:rPr>
                <m:t>ET</m:t>
              </m:r>
              <m:ctrlPr>
                <w:rPr>
                  <w:rFonts w:ascii="Cambria Math" w:hAnsi="Cambria Math" w:eastAsia="黑体"/>
                  <w:i/>
                  <w:sz w:val="24"/>
                </w:rPr>
              </m:ctrlPr>
            </m:e>
            <m:sub>
              <m:r>
                <m:rPr/>
                <w:rPr>
                  <w:rFonts w:ascii="Cambria Math" w:hAnsi="Cambria Math" w:eastAsia="黑体"/>
                  <w:sz w:val="24"/>
                </w:rPr>
                <m:t>oi</m:t>
              </m:r>
              <m:ctrlPr>
                <w:rPr>
                  <w:rFonts w:ascii="Cambria Math" w:hAnsi="Cambria Math" w:eastAsia="黑体"/>
                  <w:i/>
                  <w:sz w:val="24"/>
                </w:rPr>
              </m:ctrlPr>
            </m:sub>
          </m:sSub>
        </m:oMath>
      </m:oMathPara>
    </w:p>
    <w:p w14:paraId="11EC66FB">
      <w:pPr>
        <w:widowControl/>
        <w:adjustRightInd w:val="0"/>
        <w:snapToGrid w:val="0"/>
        <w:spacing w:line="360" w:lineRule="auto"/>
        <w:jc w:val="left"/>
        <w:rPr>
          <w:sz w:val="24"/>
          <w:szCs w:val="24"/>
        </w:rPr>
      </w:pPr>
      <w:r>
        <w:rPr>
          <w:sz w:val="24"/>
          <w:szCs w:val="24"/>
        </w:rPr>
        <w:t>式中：</w:t>
      </w:r>
      <w:r>
        <w:rPr>
          <w:i/>
          <w:iCs/>
          <w:sz w:val="24"/>
          <w:szCs w:val="24"/>
        </w:rPr>
        <w:t>h</w:t>
      </w:r>
      <w:r>
        <w:rPr>
          <w:i/>
          <w:iCs/>
          <w:sz w:val="24"/>
          <w:szCs w:val="24"/>
          <w:vertAlign w:val="subscript"/>
        </w:rPr>
        <w:t>i</w:t>
      </w:r>
      <w:r>
        <w:rPr>
          <w:sz w:val="24"/>
          <w:szCs w:val="24"/>
        </w:rPr>
        <w:t>和</w:t>
      </w:r>
      <w:r>
        <w:rPr>
          <w:i/>
          <w:iCs/>
          <w:sz w:val="24"/>
          <w:szCs w:val="24"/>
        </w:rPr>
        <w:t>h</w:t>
      </w:r>
      <w:r>
        <w:rPr>
          <w:i/>
          <w:iCs/>
          <w:sz w:val="24"/>
          <w:szCs w:val="24"/>
          <w:vertAlign w:val="subscript"/>
        </w:rPr>
        <w:t>i+1</w:t>
      </w:r>
      <w:r>
        <w:rPr>
          <w:sz w:val="24"/>
          <w:szCs w:val="24"/>
        </w:rPr>
        <w:t>分别为第i天和i-1天的田面水深，mm。</w:t>
      </w:r>
    </w:p>
    <w:bookmarkEnd w:id="5"/>
    <w:p w14:paraId="35375BBD">
      <w:pPr>
        <w:spacing w:before="156" w:beforeLines="50" w:after="156" w:afterLines="50" w:line="540" w:lineRule="exact"/>
        <w:outlineLvl w:val="0"/>
        <w:rPr>
          <w:rFonts w:eastAsia="黑体"/>
          <w:b/>
          <w:snapToGrid w:val="0"/>
          <w:color w:val="000000"/>
          <w:kern w:val="0"/>
          <w:sz w:val="24"/>
          <w:szCs w:val="24"/>
        </w:rPr>
      </w:pPr>
      <w:r>
        <w:rPr>
          <w:rFonts w:eastAsia="黑体"/>
          <w:b/>
          <w:snapToGrid w:val="0"/>
          <w:color w:val="000000"/>
          <w:kern w:val="0"/>
          <w:sz w:val="24"/>
          <w:szCs w:val="24"/>
        </w:rPr>
        <w:t>三、主要试验（或验证）的分析、综合报告，技术经济论证，预期的经济效果</w:t>
      </w:r>
    </w:p>
    <w:p w14:paraId="27C7301D">
      <w:pPr>
        <w:spacing w:line="360" w:lineRule="auto"/>
        <w:ind w:firstLine="480" w:firstLineChars="200"/>
        <w:outlineLvl w:val="1"/>
        <w:rPr>
          <w:rFonts w:ascii="楷体" w:hAnsi="楷体" w:eastAsia="楷体"/>
          <w:b/>
          <w:bCs/>
          <w:sz w:val="24"/>
          <w:szCs w:val="24"/>
        </w:rPr>
      </w:pPr>
      <w:r>
        <w:rPr>
          <w:rFonts w:ascii="楷体" w:hAnsi="楷体" w:eastAsia="楷体"/>
          <w:b/>
          <w:bCs/>
          <w:sz w:val="24"/>
          <w:szCs w:val="24"/>
        </w:rPr>
        <w:t>（一）主要试验或验证的分析</w:t>
      </w:r>
    </w:p>
    <w:p w14:paraId="1F8D82D5">
      <w:pPr>
        <w:spacing w:line="360" w:lineRule="auto"/>
        <w:ind w:firstLine="480" w:firstLineChars="200"/>
        <w:rPr>
          <w:snapToGrid w:val="0"/>
          <w:color w:val="000000"/>
          <w:kern w:val="0"/>
          <w:sz w:val="24"/>
          <w:szCs w:val="24"/>
        </w:rPr>
      </w:pPr>
      <w:r>
        <w:rPr>
          <w:snapToGrid w:val="0"/>
          <w:color w:val="000000"/>
          <w:kern w:val="0"/>
          <w:sz w:val="24"/>
          <w:szCs w:val="24"/>
        </w:rPr>
        <w:t>在本标准的基本内容确定后，既由南方典型双季稻轮作田开展相关技术实践，现已完成相关试验内容。建立并验证南方双季稻轮作田土壤保育与碳氮协同减排技术规范。为了验证本文件的可行性，项目组在湖南</w:t>
      </w:r>
      <w:r>
        <w:rPr>
          <w:rFonts w:hint="eastAsia"/>
          <w:snapToGrid w:val="0"/>
          <w:color w:val="000000"/>
          <w:kern w:val="0"/>
          <w:sz w:val="24"/>
          <w:szCs w:val="24"/>
        </w:rPr>
        <w:t>和</w:t>
      </w:r>
      <w:r>
        <w:rPr>
          <w:snapToGrid w:val="0"/>
          <w:color w:val="000000"/>
          <w:kern w:val="0"/>
          <w:sz w:val="24"/>
          <w:szCs w:val="24"/>
        </w:rPr>
        <w:t>江西开展应用试点，详细</w:t>
      </w:r>
      <w:r>
        <w:rPr>
          <w:rFonts w:hint="eastAsia"/>
          <w:snapToGrid w:val="0"/>
          <w:color w:val="000000"/>
          <w:kern w:val="0"/>
          <w:sz w:val="24"/>
          <w:szCs w:val="24"/>
          <w:lang w:eastAsia="zh-CN"/>
        </w:rPr>
        <w:t>记录</w:t>
      </w:r>
      <w:r>
        <w:rPr>
          <w:snapToGrid w:val="0"/>
          <w:color w:val="000000"/>
          <w:kern w:val="0"/>
          <w:sz w:val="24"/>
          <w:szCs w:val="24"/>
        </w:rPr>
        <w:t>实验过程，并对应用效果进行跟踪监测。结果表明经济、社会、生态效益明显。</w:t>
      </w:r>
    </w:p>
    <w:p w14:paraId="12E0E4FF">
      <w:pPr>
        <w:spacing w:line="360" w:lineRule="auto"/>
        <w:ind w:firstLine="480" w:firstLineChars="200"/>
        <w:outlineLvl w:val="2"/>
        <w:rPr>
          <w:rFonts w:ascii="楷体" w:hAnsi="楷体" w:eastAsia="楷体"/>
          <w:b/>
          <w:bCs/>
          <w:snapToGrid w:val="0"/>
          <w:color w:val="000000"/>
          <w:kern w:val="0"/>
          <w:sz w:val="24"/>
          <w:szCs w:val="24"/>
          <w:lang w:val="en-GB"/>
        </w:rPr>
      </w:pPr>
      <w:r>
        <w:rPr>
          <w:rFonts w:ascii="楷体" w:hAnsi="楷体" w:eastAsia="楷体"/>
          <w:b/>
          <w:bCs/>
          <w:snapToGrid w:val="0"/>
          <w:color w:val="000000"/>
          <w:kern w:val="0"/>
          <w:sz w:val="24"/>
          <w:szCs w:val="24"/>
          <w:lang w:val="en-GB"/>
        </w:rPr>
        <w:t>1. 灌排单元上覆水氮浓度变化</w:t>
      </w:r>
    </w:p>
    <w:p w14:paraId="58BDC647">
      <w:pPr>
        <w:spacing w:line="360" w:lineRule="auto"/>
        <w:ind w:firstLine="480" w:firstLineChars="200"/>
        <w:rPr>
          <w:snapToGrid w:val="0"/>
          <w:color w:val="000000"/>
          <w:kern w:val="0"/>
          <w:sz w:val="24"/>
          <w:szCs w:val="24"/>
        </w:rPr>
      </w:pPr>
      <w:r>
        <w:rPr>
          <w:snapToGrid w:val="0"/>
          <w:color w:val="000000"/>
          <w:kern w:val="0"/>
          <w:sz w:val="24"/>
          <w:szCs w:val="24"/>
        </w:rPr>
        <w:t>在</w:t>
      </w:r>
      <w:r>
        <w:rPr>
          <w:rFonts w:hint="eastAsia"/>
          <w:snapToGrid w:val="0"/>
          <w:color w:val="000000"/>
          <w:kern w:val="0"/>
          <w:sz w:val="24"/>
          <w:szCs w:val="24"/>
        </w:rPr>
        <w:t>湖南典型的双季稻</w:t>
      </w:r>
      <w:r>
        <w:rPr>
          <w:snapToGrid w:val="0"/>
          <w:color w:val="000000"/>
          <w:kern w:val="0"/>
          <w:sz w:val="24"/>
          <w:szCs w:val="24"/>
        </w:rPr>
        <w:t>轮作灌排单元内的研究结果发现，</w:t>
      </w:r>
      <w:r>
        <w:rPr>
          <w:rFonts w:hint="eastAsia"/>
          <w:snapToGrid w:val="0"/>
          <w:color w:val="000000"/>
          <w:kern w:val="0"/>
          <w:sz w:val="24"/>
          <w:szCs w:val="24"/>
        </w:rPr>
        <w:t>铵态氮在整个生育期内保持较高的浓度，而硝态氮浓度较低。施肥后7天内是氮流失的风险时期，该时期铵态氮浓度较高，早稻季最高达52.7</w:t>
      </w:r>
      <w:r>
        <w:rPr>
          <w:snapToGrid w:val="0"/>
          <w:color w:val="000000"/>
          <w:kern w:val="0"/>
          <w:sz w:val="24"/>
          <w:szCs w:val="24"/>
        </w:rPr>
        <w:t xml:space="preserve"> mg·L</w:t>
      </w:r>
      <w:r>
        <w:rPr>
          <w:snapToGrid w:val="0"/>
          <w:color w:val="000000"/>
          <w:kern w:val="0"/>
          <w:sz w:val="24"/>
          <w:szCs w:val="24"/>
          <w:vertAlign w:val="superscript"/>
        </w:rPr>
        <w:t>-1</w:t>
      </w:r>
      <w:r>
        <w:rPr>
          <w:snapToGrid w:val="0"/>
          <w:color w:val="000000"/>
          <w:kern w:val="0"/>
          <w:sz w:val="24"/>
          <w:szCs w:val="24"/>
        </w:rPr>
        <w:t>，</w:t>
      </w:r>
      <w:r>
        <w:rPr>
          <w:rFonts w:hint="eastAsia"/>
          <w:snapToGrid w:val="0"/>
          <w:color w:val="000000"/>
          <w:kern w:val="0"/>
          <w:sz w:val="24"/>
          <w:szCs w:val="24"/>
        </w:rPr>
        <w:t>晚稻季最高达36.7</w:t>
      </w:r>
      <w:r>
        <w:rPr>
          <w:snapToGrid w:val="0"/>
          <w:color w:val="000000"/>
          <w:kern w:val="0"/>
          <w:sz w:val="24"/>
          <w:szCs w:val="24"/>
        </w:rPr>
        <w:t xml:space="preserve"> mg·L</w:t>
      </w:r>
      <w:r>
        <w:rPr>
          <w:snapToGrid w:val="0"/>
          <w:color w:val="000000"/>
          <w:kern w:val="0"/>
          <w:sz w:val="24"/>
          <w:szCs w:val="24"/>
          <w:vertAlign w:val="superscript"/>
        </w:rPr>
        <w:t>-1</w:t>
      </w:r>
      <w:r>
        <w:rPr>
          <w:rFonts w:hint="eastAsia"/>
          <w:snapToGrid w:val="0"/>
          <w:color w:val="000000"/>
          <w:kern w:val="0"/>
          <w:sz w:val="24"/>
          <w:szCs w:val="24"/>
        </w:rPr>
        <w:t>，</w:t>
      </w:r>
      <w:r>
        <w:rPr>
          <w:snapToGrid w:val="0"/>
          <w:color w:val="000000"/>
          <w:kern w:val="0"/>
          <w:sz w:val="24"/>
          <w:szCs w:val="24"/>
        </w:rPr>
        <w:t>（图</w:t>
      </w:r>
      <w:r>
        <w:rPr>
          <w:rFonts w:hint="eastAsia"/>
          <w:snapToGrid w:val="0"/>
          <w:color w:val="000000"/>
          <w:kern w:val="0"/>
          <w:sz w:val="24"/>
          <w:szCs w:val="24"/>
        </w:rPr>
        <w:t>2</w:t>
      </w:r>
      <w:r>
        <w:rPr>
          <w:snapToGrid w:val="0"/>
          <w:color w:val="000000"/>
          <w:kern w:val="0"/>
          <w:sz w:val="24"/>
          <w:szCs w:val="24"/>
        </w:rPr>
        <w:t>）。随着时间的延长，</w:t>
      </w:r>
      <w:r>
        <w:rPr>
          <w:rFonts w:hint="eastAsia"/>
          <w:snapToGrid w:val="0"/>
          <w:color w:val="000000"/>
          <w:kern w:val="0"/>
          <w:sz w:val="24"/>
          <w:szCs w:val="24"/>
        </w:rPr>
        <w:t>早稻季和晚稻季铵态氮</w:t>
      </w:r>
      <w:r>
        <w:rPr>
          <w:snapToGrid w:val="0"/>
          <w:color w:val="000000"/>
          <w:kern w:val="0"/>
          <w:sz w:val="24"/>
          <w:szCs w:val="24"/>
        </w:rPr>
        <w:t>浓度呈现下降趋势，至</w:t>
      </w:r>
      <w:r>
        <w:rPr>
          <w:rFonts w:hint="eastAsia"/>
          <w:snapToGrid w:val="0"/>
          <w:color w:val="000000"/>
          <w:kern w:val="0"/>
          <w:sz w:val="24"/>
          <w:szCs w:val="24"/>
        </w:rPr>
        <w:t>施肥后第4天分别</w:t>
      </w:r>
      <w:r>
        <w:rPr>
          <w:snapToGrid w:val="0"/>
          <w:color w:val="000000"/>
          <w:kern w:val="0"/>
          <w:sz w:val="24"/>
          <w:szCs w:val="24"/>
        </w:rPr>
        <w:t>降至</w:t>
      </w:r>
      <w:r>
        <w:rPr>
          <w:rFonts w:hint="eastAsia"/>
          <w:snapToGrid w:val="0"/>
          <w:color w:val="000000"/>
          <w:kern w:val="0"/>
          <w:sz w:val="24"/>
          <w:szCs w:val="24"/>
        </w:rPr>
        <w:t>9.84</w:t>
      </w:r>
      <w:r>
        <w:rPr>
          <w:snapToGrid w:val="0"/>
          <w:color w:val="000000"/>
          <w:kern w:val="0"/>
          <w:sz w:val="24"/>
          <w:szCs w:val="24"/>
        </w:rPr>
        <w:t xml:space="preserve"> mg·L</w:t>
      </w:r>
      <w:r>
        <w:rPr>
          <w:snapToGrid w:val="0"/>
          <w:color w:val="000000"/>
          <w:kern w:val="0"/>
          <w:sz w:val="24"/>
          <w:szCs w:val="24"/>
          <w:vertAlign w:val="superscript"/>
        </w:rPr>
        <w:t>-1</w:t>
      </w:r>
      <w:r>
        <w:rPr>
          <w:rFonts w:hint="eastAsia"/>
          <w:snapToGrid w:val="0"/>
          <w:color w:val="000000"/>
          <w:kern w:val="0"/>
          <w:sz w:val="24"/>
          <w:szCs w:val="24"/>
        </w:rPr>
        <w:t>和5.19</w:t>
      </w:r>
      <w:r>
        <w:rPr>
          <w:snapToGrid w:val="0"/>
          <w:color w:val="000000"/>
          <w:kern w:val="0"/>
          <w:sz w:val="24"/>
          <w:szCs w:val="24"/>
        </w:rPr>
        <w:t xml:space="preserve"> mg·L</w:t>
      </w:r>
      <w:r>
        <w:rPr>
          <w:snapToGrid w:val="0"/>
          <w:color w:val="000000"/>
          <w:kern w:val="0"/>
          <w:sz w:val="24"/>
          <w:szCs w:val="24"/>
          <w:vertAlign w:val="superscript"/>
        </w:rPr>
        <w:t>-1</w:t>
      </w:r>
      <w:r>
        <w:rPr>
          <w:snapToGrid w:val="0"/>
          <w:color w:val="000000"/>
          <w:kern w:val="0"/>
          <w:sz w:val="24"/>
          <w:szCs w:val="24"/>
        </w:rPr>
        <w:t>。因此，</w:t>
      </w:r>
      <w:r>
        <w:rPr>
          <w:rFonts w:hint="eastAsia"/>
          <w:snapToGrid w:val="0"/>
          <w:color w:val="000000"/>
          <w:kern w:val="0"/>
          <w:sz w:val="24"/>
          <w:szCs w:val="24"/>
        </w:rPr>
        <w:t>施肥后的一周内</w:t>
      </w:r>
      <w:r>
        <w:rPr>
          <w:snapToGrid w:val="0"/>
          <w:color w:val="000000"/>
          <w:kern w:val="0"/>
          <w:sz w:val="24"/>
          <w:szCs w:val="24"/>
        </w:rPr>
        <w:t>是氮素流失的关键风险期，需通过水管理措施以减少氮素的流失。施用基肥和追肥后，田面水的</w:t>
      </w:r>
      <w:r>
        <w:rPr>
          <w:rFonts w:hint="eastAsia"/>
          <w:snapToGrid w:val="0"/>
          <w:color w:val="000000"/>
          <w:kern w:val="0"/>
          <w:sz w:val="24"/>
          <w:szCs w:val="24"/>
        </w:rPr>
        <w:t>铵态氮</w:t>
      </w:r>
      <w:r>
        <w:rPr>
          <w:snapToGrid w:val="0"/>
          <w:color w:val="000000"/>
          <w:kern w:val="0"/>
          <w:sz w:val="24"/>
          <w:szCs w:val="24"/>
        </w:rPr>
        <w:t>浓度均出现峰值，</w:t>
      </w:r>
      <w:r>
        <w:rPr>
          <w:rFonts w:hint="eastAsia"/>
          <w:snapToGrid w:val="0"/>
          <w:color w:val="000000"/>
          <w:kern w:val="0"/>
          <w:sz w:val="24"/>
          <w:szCs w:val="24"/>
        </w:rPr>
        <w:t>早稻季</w:t>
      </w:r>
      <w:r>
        <w:rPr>
          <w:snapToGrid w:val="0"/>
          <w:color w:val="000000"/>
          <w:kern w:val="0"/>
          <w:sz w:val="24"/>
          <w:szCs w:val="24"/>
        </w:rPr>
        <w:t>基肥和分蘖肥后的峰值分别为</w:t>
      </w:r>
      <w:r>
        <w:rPr>
          <w:rFonts w:hint="eastAsia"/>
          <w:snapToGrid w:val="0"/>
          <w:color w:val="000000"/>
          <w:kern w:val="0"/>
          <w:sz w:val="24"/>
          <w:szCs w:val="24"/>
        </w:rPr>
        <w:t>52.7</w:t>
      </w:r>
      <w:r>
        <w:rPr>
          <w:snapToGrid w:val="0"/>
          <w:color w:val="000000"/>
          <w:kern w:val="0"/>
          <w:sz w:val="24"/>
          <w:szCs w:val="24"/>
        </w:rPr>
        <w:t>和</w:t>
      </w:r>
      <w:r>
        <w:rPr>
          <w:rFonts w:hint="eastAsia"/>
          <w:snapToGrid w:val="0"/>
          <w:color w:val="000000"/>
          <w:kern w:val="0"/>
          <w:sz w:val="24"/>
          <w:szCs w:val="24"/>
        </w:rPr>
        <w:t>51.1</w:t>
      </w:r>
      <w:r>
        <w:rPr>
          <w:snapToGrid w:val="0"/>
          <w:color w:val="000000"/>
          <w:kern w:val="0"/>
          <w:sz w:val="24"/>
          <w:szCs w:val="24"/>
        </w:rPr>
        <w:t xml:space="preserve"> mg·L</w:t>
      </w:r>
      <w:r>
        <w:rPr>
          <w:snapToGrid w:val="0"/>
          <w:color w:val="000000"/>
          <w:kern w:val="0"/>
          <w:sz w:val="24"/>
          <w:szCs w:val="24"/>
          <w:vertAlign w:val="superscript"/>
        </w:rPr>
        <w:t>-1</w:t>
      </w:r>
      <w:r>
        <w:rPr>
          <w:snapToGrid w:val="0"/>
          <w:color w:val="000000"/>
          <w:kern w:val="0"/>
          <w:sz w:val="24"/>
          <w:szCs w:val="24"/>
        </w:rPr>
        <w:t>，</w:t>
      </w:r>
      <w:r>
        <w:rPr>
          <w:rFonts w:hint="eastAsia"/>
          <w:snapToGrid w:val="0"/>
          <w:color w:val="000000"/>
          <w:kern w:val="0"/>
          <w:sz w:val="24"/>
          <w:szCs w:val="24"/>
        </w:rPr>
        <w:t>晚稻季</w:t>
      </w:r>
      <w:r>
        <w:rPr>
          <w:snapToGrid w:val="0"/>
          <w:color w:val="000000"/>
          <w:kern w:val="0"/>
          <w:sz w:val="24"/>
          <w:szCs w:val="24"/>
        </w:rPr>
        <w:t>基肥和分蘖肥后的峰值分别为</w:t>
      </w:r>
      <w:r>
        <w:rPr>
          <w:rFonts w:hint="eastAsia"/>
          <w:snapToGrid w:val="0"/>
          <w:color w:val="000000"/>
          <w:kern w:val="0"/>
          <w:sz w:val="24"/>
          <w:szCs w:val="24"/>
        </w:rPr>
        <w:t>36.7</w:t>
      </w:r>
      <w:r>
        <w:rPr>
          <w:snapToGrid w:val="0"/>
          <w:color w:val="000000"/>
          <w:kern w:val="0"/>
          <w:sz w:val="24"/>
          <w:szCs w:val="24"/>
        </w:rPr>
        <w:t>和</w:t>
      </w:r>
      <w:r>
        <w:rPr>
          <w:rFonts w:hint="eastAsia"/>
          <w:snapToGrid w:val="0"/>
          <w:color w:val="000000"/>
          <w:kern w:val="0"/>
          <w:sz w:val="24"/>
          <w:szCs w:val="24"/>
        </w:rPr>
        <w:t>42.9</w:t>
      </w:r>
      <w:r>
        <w:rPr>
          <w:snapToGrid w:val="0"/>
          <w:color w:val="000000"/>
          <w:kern w:val="0"/>
          <w:sz w:val="24"/>
          <w:szCs w:val="24"/>
        </w:rPr>
        <w:t xml:space="preserve"> mg·L</w:t>
      </w:r>
      <w:r>
        <w:rPr>
          <w:snapToGrid w:val="0"/>
          <w:color w:val="000000"/>
          <w:kern w:val="0"/>
          <w:sz w:val="24"/>
          <w:szCs w:val="24"/>
          <w:vertAlign w:val="superscript"/>
        </w:rPr>
        <w:t>-1</w:t>
      </w:r>
      <w:r>
        <w:rPr>
          <w:rFonts w:hint="eastAsia"/>
          <w:snapToGrid w:val="0"/>
          <w:color w:val="000000"/>
          <w:kern w:val="0"/>
          <w:sz w:val="24"/>
          <w:szCs w:val="24"/>
        </w:rPr>
        <w:t>，</w:t>
      </w:r>
      <w:r>
        <w:rPr>
          <w:snapToGrid w:val="0"/>
          <w:color w:val="000000"/>
          <w:kern w:val="0"/>
          <w:sz w:val="24"/>
          <w:szCs w:val="24"/>
        </w:rPr>
        <w:t>之后迅速下降。基肥和分蘖肥后，总氮浓度在第5至7天达到稳定状态，表明施用基肥和分蘖肥后的7天内是</w:t>
      </w:r>
      <w:r>
        <w:rPr>
          <w:rFonts w:hint="eastAsia"/>
          <w:snapToGrid w:val="0"/>
          <w:color w:val="000000"/>
          <w:kern w:val="0"/>
          <w:sz w:val="24"/>
          <w:szCs w:val="24"/>
        </w:rPr>
        <w:t>双季稻轮作</w:t>
      </w:r>
      <w:r>
        <w:rPr>
          <w:snapToGrid w:val="0"/>
          <w:color w:val="000000"/>
          <w:kern w:val="0"/>
          <w:sz w:val="24"/>
          <w:szCs w:val="24"/>
        </w:rPr>
        <w:t>系统中氮素流失的高风险期。</w:t>
      </w:r>
    </w:p>
    <w:p w14:paraId="036C821D">
      <w:pPr>
        <w:spacing w:line="360" w:lineRule="auto"/>
        <w:rPr>
          <w:sz w:val="24"/>
          <w:szCs w:val="24"/>
        </w:rPr>
      </w:pPr>
      <w:r>
        <w:rPr>
          <w:sz w:val="24"/>
          <w:szCs w:val="24"/>
        </w:rPr>
        <w:drawing>
          <wp:inline distT="0" distB="0" distL="0" distR="0">
            <wp:extent cx="5219700" cy="173990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19700" cy="1739900"/>
                    </a:xfrm>
                    <a:prstGeom prst="rect">
                      <a:avLst/>
                    </a:prstGeom>
                    <a:noFill/>
                  </pic:spPr>
                </pic:pic>
              </a:graphicData>
            </a:graphic>
          </wp:inline>
        </w:drawing>
      </w:r>
    </w:p>
    <w:p w14:paraId="74C850B9">
      <w:pPr>
        <w:spacing w:line="360" w:lineRule="auto"/>
        <w:jc w:val="center"/>
        <w:rPr>
          <w:b/>
          <w:bCs/>
          <w:snapToGrid w:val="0"/>
          <w:color w:val="000000"/>
          <w:kern w:val="0"/>
          <w:sz w:val="24"/>
          <w:szCs w:val="24"/>
        </w:rPr>
      </w:pPr>
      <w:r>
        <w:rPr>
          <w:b/>
          <w:bCs/>
          <w:snapToGrid w:val="0"/>
          <w:color w:val="000000"/>
          <w:kern w:val="0"/>
          <w:sz w:val="24"/>
          <w:szCs w:val="24"/>
        </w:rPr>
        <w:t>图</w:t>
      </w:r>
      <w:r>
        <w:rPr>
          <w:rFonts w:hint="eastAsia"/>
          <w:b/>
          <w:bCs/>
          <w:snapToGrid w:val="0"/>
          <w:color w:val="000000"/>
          <w:kern w:val="0"/>
          <w:sz w:val="24"/>
          <w:szCs w:val="24"/>
        </w:rPr>
        <w:t>2</w:t>
      </w:r>
      <w:r>
        <w:rPr>
          <w:b/>
          <w:bCs/>
          <w:snapToGrid w:val="0"/>
          <w:color w:val="000000"/>
          <w:kern w:val="0"/>
          <w:sz w:val="24"/>
          <w:szCs w:val="24"/>
        </w:rPr>
        <w:t xml:space="preserve"> 灌排单元稻田田面水和沟渠上覆水氮浓度</w:t>
      </w:r>
    </w:p>
    <w:p w14:paraId="43CDC045">
      <w:pPr>
        <w:spacing w:line="360" w:lineRule="auto"/>
        <w:ind w:firstLine="480" w:firstLineChars="200"/>
        <w:outlineLvl w:val="2"/>
        <w:rPr>
          <w:rFonts w:ascii="楷体" w:hAnsi="楷体" w:eastAsia="楷体"/>
          <w:b/>
          <w:bCs/>
          <w:snapToGrid w:val="0"/>
          <w:color w:val="000000"/>
          <w:kern w:val="0"/>
          <w:sz w:val="24"/>
          <w:szCs w:val="24"/>
          <w:lang w:val="en-GB"/>
        </w:rPr>
      </w:pPr>
      <w:r>
        <w:rPr>
          <w:rFonts w:ascii="楷体" w:hAnsi="楷体" w:eastAsia="楷体"/>
          <w:b/>
          <w:bCs/>
          <w:snapToGrid w:val="0"/>
          <w:color w:val="000000"/>
          <w:kern w:val="0"/>
          <w:sz w:val="24"/>
          <w:szCs w:val="24"/>
          <w:lang w:val="en-GB"/>
        </w:rPr>
        <w:t>2. 灌排单元水分管理对氮流失的影响</w:t>
      </w:r>
    </w:p>
    <w:p w14:paraId="4755E2AB">
      <w:pPr>
        <w:spacing w:line="360" w:lineRule="auto"/>
        <w:ind w:firstLine="480" w:firstLineChars="200"/>
        <w:rPr>
          <w:snapToGrid w:val="0"/>
          <w:color w:val="000000"/>
          <w:kern w:val="0"/>
          <w:sz w:val="24"/>
          <w:szCs w:val="24"/>
        </w:rPr>
      </w:pPr>
      <w:r>
        <w:rPr>
          <w:rFonts w:hint="eastAsia"/>
          <w:snapToGrid w:val="0"/>
          <w:color w:val="000000"/>
          <w:kern w:val="0"/>
          <w:sz w:val="24"/>
          <w:szCs w:val="24"/>
        </w:rPr>
        <w:t>在湖南的双季稻实验表明，</w:t>
      </w:r>
      <w:r>
        <w:rPr>
          <w:snapToGrid w:val="0"/>
          <w:color w:val="000000"/>
          <w:kern w:val="0"/>
          <w:sz w:val="24"/>
          <w:szCs w:val="24"/>
        </w:rPr>
        <w:t>与传统淹灌方法相比，控制灌溉量在氮流失关键期可有效降低氮流失。</w:t>
      </w:r>
      <w:r>
        <w:rPr>
          <w:rFonts w:hint="eastAsia"/>
          <w:snapToGrid w:val="0"/>
          <w:color w:val="000000"/>
          <w:kern w:val="0"/>
          <w:sz w:val="24"/>
          <w:szCs w:val="24"/>
        </w:rPr>
        <w:t>常规灌溉和控制灌溉两季氮素径流损失平均值分别为</w:t>
      </w:r>
      <w:r>
        <w:rPr>
          <w:snapToGrid w:val="0"/>
          <w:color w:val="000000"/>
          <w:kern w:val="0"/>
          <w:sz w:val="24"/>
          <w:szCs w:val="24"/>
        </w:rPr>
        <w:t>11.8</w:t>
      </w:r>
      <w:r>
        <w:rPr>
          <w:rFonts w:hint="eastAsia"/>
          <w:snapToGrid w:val="0"/>
          <w:color w:val="000000"/>
          <w:kern w:val="0"/>
          <w:sz w:val="24"/>
          <w:szCs w:val="24"/>
        </w:rPr>
        <w:t>和</w:t>
      </w:r>
      <w:r>
        <w:rPr>
          <w:snapToGrid w:val="0"/>
          <w:color w:val="000000"/>
          <w:kern w:val="0"/>
          <w:sz w:val="24"/>
          <w:szCs w:val="24"/>
        </w:rPr>
        <w:t>6.80 kg N ha</w:t>
      </w:r>
      <w:r>
        <w:rPr>
          <w:snapToGrid w:val="0"/>
          <w:color w:val="000000"/>
          <w:kern w:val="0"/>
          <w:sz w:val="24"/>
          <w:szCs w:val="24"/>
          <w:vertAlign w:val="superscript"/>
        </w:rPr>
        <w:t>−1</w:t>
      </w:r>
      <w:r>
        <w:rPr>
          <w:rFonts w:hint="eastAsia"/>
          <w:snapToGrid w:val="0"/>
          <w:color w:val="000000"/>
          <w:kern w:val="0"/>
          <w:sz w:val="24"/>
          <w:szCs w:val="24"/>
        </w:rPr>
        <w:t>。早稻季氮素径流负荷约占</w:t>
      </w:r>
      <w:r>
        <w:rPr>
          <w:snapToGrid w:val="0"/>
          <w:color w:val="000000"/>
          <w:kern w:val="0"/>
          <w:sz w:val="24"/>
          <w:szCs w:val="24"/>
        </w:rPr>
        <w:t>56.4%</w:t>
      </w:r>
      <w:r>
        <w:rPr>
          <w:rFonts w:hint="eastAsia"/>
          <w:snapToGrid w:val="0"/>
          <w:color w:val="000000"/>
          <w:kern w:val="0"/>
          <w:sz w:val="24"/>
          <w:szCs w:val="24"/>
        </w:rPr>
        <w:t>～</w:t>
      </w:r>
      <w:r>
        <w:rPr>
          <w:snapToGrid w:val="0"/>
          <w:color w:val="000000"/>
          <w:kern w:val="0"/>
          <w:sz w:val="24"/>
          <w:szCs w:val="24"/>
        </w:rPr>
        <w:t>76.6%</w:t>
      </w:r>
      <w:r>
        <w:rPr>
          <w:rFonts w:hint="eastAsia"/>
          <w:snapToGrid w:val="0"/>
          <w:color w:val="000000"/>
          <w:kern w:val="0"/>
          <w:sz w:val="24"/>
          <w:szCs w:val="24"/>
        </w:rPr>
        <w:t>，主要是由于降雨的时间分布不同。与常规灌溉相比，控制灌溉处理径流事件明显减少，早稻季氮素径流损失减少了</w:t>
      </w:r>
      <w:r>
        <w:rPr>
          <w:snapToGrid w:val="0"/>
          <w:color w:val="000000"/>
          <w:kern w:val="0"/>
          <w:sz w:val="24"/>
          <w:szCs w:val="24"/>
        </w:rPr>
        <w:t>39.1%</w:t>
      </w:r>
      <w:r>
        <w:rPr>
          <w:rFonts w:hint="eastAsia"/>
          <w:snapToGrid w:val="0"/>
          <w:color w:val="000000"/>
          <w:kern w:val="0"/>
          <w:sz w:val="24"/>
          <w:szCs w:val="24"/>
        </w:rPr>
        <w:t>，晚稻季氮素径流损失减少了</w:t>
      </w:r>
      <w:r>
        <w:rPr>
          <w:snapToGrid w:val="0"/>
          <w:color w:val="000000"/>
          <w:kern w:val="0"/>
          <w:sz w:val="24"/>
          <w:szCs w:val="24"/>
        </w:rPr>
        <w:t>46.7%</w:t>
      </w:r>
      <w:r>
        <w:rPr>
          <w:rFonts w:hint="eastAsia"/>
          <w:snapToGrid w:val="0"/>
          <w:color w:val="000000"/>
          <w:kern w:val="0"/>
          <w:sz w:val="24"/>
          <w:szCs w:val="24"/>
        </w:rPr>
        <w:t>。常规灌溉和控制灌溉两季氮素淋失量平均分别为</w:t>
      </w:r>
      <w:r>
        <w:rPr>
          <w:snapToGrid w:val="0"/>
          <w:color w:val="000000"/>
          <w:kern w:val="0"/>
          <w:sz w:val="24"/>
          <w:szCs w:val="24"/>
        </w:rPr>
        <w:t>11.4</w:t>
      </w:r>
      <w:r>
        <w:rPr>
          <w:rFonts w:hint="eastAsia"/>
          <w:snapToGrid w:val="0"/>
          <w:color w:val="000000"/>
          <w:kern w:val="0"/>
          <w:sz w:val="24"/>
          <w:szCs w:val="24"/>
        </w:rPr>
        <w:t>和</w:t>
      </w:r>
      <w:r>
        <w:rPr>
          <w:snapToGrid w:val="0"/>
          <w:color w:val="000000"/>
          <w:kern w:val="0"/>
          <w:sz w:val="24"/>
          <w:szCs w:val="24"/>
        </w:rPr>
        <w:t>9.55 kg N ha</w:t>
      </w:r>
      <w:r>
        <w:rPr>
          <w:snapToGrid w:val="0"/>
          <w:color w:val="000000"/>
          <w:kern w:val="0"/>
          <w:sz w:val="24"/>
          <w:szCs w:val="24"/>
          <w:vertAlign w:val="superscript"/>
        </w:rPr>
        <w:t>−1</w:t>
      </w:r>
      <w:r>
        <w:rPr>
          <w:rFonts w:hint="eastAsia"/>
          <w:snapToGrid w:val="0"/>
          <w:color w:val="000000"/>
          <w:kern w:val="0"/>
          <w:sz w:val="24"/>
          <w:szCs w:val="24"/>
        </w:rPr>
        <w:t>。控制灌溉早稻季氮素淋失量降低了</w:t>
      </w:r>
      <w:r>
        <w:rPr>
          <w:snapToGrid w:val="0"/>
          <w:color w:val="000000"/>
          <w:kern w:val="0"/>
          <w:sz w:val="24"/>
          <w:szCs w:val="24"/>
        </w:rPr>
        <w:t>6.2%</w:t>
      </w:r>
      <w:r>
        <w:rPr>
          <w:rFonts w:hint="eastAsia"/>
          <w:snapToGrid w:val="0"/>
          <w:color w:val="000000"/>
          <w:kern w:val="0"/>
          <w:sz w:val="24"/>
          <w:szCs w:val="24"/>
        </w:rPr>
        <w:t>，晚稻季降低了</w:t>
      </w:r>
      <w:r>
        <w:rPr>
          <w:snapToGrid w:val="0"/>
          <w:color w:val="000000"/>
          <w:kern w:val="0"/>
          <w:sz w:val="24"/>
          <w:szCs w:val="24"/>
        </w:rPr>
        <w:t>23.5%</w:t>
      </w:r>
      <w:r>
        <w:rPr>
          <w:rFonts w:hint="eastAsia"/>
          <w:snapToGrid w:val="0"/>
          <w:color w:val="000000"/>
          <w:kern w:val="0"/>
          <w:sz w:val="24"/>
          <w:szCs w:val="24"/>
        </w:rPr>
        <w:t>。控制灌溉晚稻氮素淋失量大于径流损失。</w:t>
      </w:r>
    </w:p>
    <w:p w14:paraId="44E59E86">
      <w:pPr>
        <w:spacing w:line="360" w:lineRule="auto"/>
        <w:rPr>
          <w:sz w:val="24"/>
          <w:szCs w:val="24"/>
        </w:rPr>
      </w:pPr>
      <w:r>
        <w:rPr>
          <w:sz w:val="24"/>
          <w:szCs w:val="24"/>
        </w:rPr>
        <w:drawing>
          <wp:inline distT="0" distB="0" distL="0" distR="0">
            <wp:extent cx="5219700" cy="184150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19700" cy="1841500"/>
                    </a:xfrm>
                    <a:prstGeom prst="rect">
                      <a:avLst/>
                    </a:prstGeom>
                    <a:noFill/>
                  </pic:spPr>
                </pic:pic>
              </a:graphicData>
            </a:graphic>
          </wp:inline>
        </w:drawing>
      </w:r>
    </w:p>
    <w:p w14:paraId="37FF63CE">
      <w:pPr>
        <w:spacing w:line="360" w:lineRule="auto"/>
        <w:jc w:val="center"/>
        <w:rPr>
          <w:b/>
          <w:bCs/>
          <w:snapToGrid w:val="0"/>
          <w:color w:val="000000"/>
          <w:kern w:val="0"/>
          <w:sz w:val="24"/>
          <w:szCs w:val="24"/>
        </w:rPr>
      </w:pPr>
      <w:r>
        <w:rPr>
          <w:b/>
          <w:bCs/>
          <w:snapToGrid w:val="0"/>
          <w:color w:val="000000"/>
          <w:kern w:val="0"/>
          <w:sz w:val="24"/>
          <w:szCs w:val="24"/>
        </w:rPr>
        <w:t>图</w:t>
      </w:r>
      <w:r>
        <w:rPr>
          <w:rFonts w:hint="eastAsia"/>
          <w:b/>
          <w:bCs/>
          <w:snapToGrid w:val="0"/>
          <w:color w:val="000000"/>
          <w:kern w:val="0"/>
          <w:sz w:val="24"/>
          <w:szCs w:val="24"/>
        </w:rPr>
        <w:t>3</w:t>
      </w:r>
      <w:r>
        <w:rPr>
          <w:b/>
          <w:bCs/>
          <w:snapToGrid w:val="0"/>
          <w:color w:val="000000"/>
          <w:kern w:val="0"/>
          <w:sz w:val="24"/>
          <w:szCs w:val="24"/>
        </w:rPr>
        <w:t xml:space="preserve"> 稻田不同灌溉方式下的</w:t>
      </w:r>
      <w:r>
        <w:rPr>
          <w:rFonts w:hint="eastAsia"/>
          <w:b/>
          <w:bCs/>
          <w:snapToGrid w:val="0"/>
          <w:color w:val="000000"/>
          <w:kern w:val="0"/>
          <w:sz w:val="24"/>
          <w:szCs w:val="24"/>
        </w:rPr>
        <w:t>径流</w:t>
      </w:r>
      <w:r>
        <w:rPr>
          <w:b/>
          <w:bCs/>
          <w:snapToGrid w:val="0"/>
          <w:color w:val="000000"/>
          <w:kern w:val="0"/>
          <w:sz w:val="24"/>
          <w:szCs w:val="24"/>
        </w:rPr>
        <w:t>氮</w:t>
      </w:r>
      <w:r>
        <w:rPr>
          <w:rFonts w:hint="eastAsia"/>
          <w:b/>
          <w:bCs/>
          <w:snapToGrid w:val="0"/>
          <w:color w:val="000000"/>
          <w:kern w:val="0"/>
          <w:sz w:val="24"/>
          <w:szCs w:val="24"/>
        </w:rPr>
        <w:t>（a）和淋溶氮（b）</w:t>
      </w:r>
      <w:r>
        <w:rPr>
          <w:b/>
          <w:bCs/>
          <w:snapToGrid w:val="0"/>
          <w:color w:val="000000"/>
          <w:kern w:val="0"/>
          <w:sz w:val="24"/>
          <w:szCs w:val="24"/>
        </w:rPr>
        <w:t>流失量</w:t>
      </w:r>
    </w:p>
    <w:p w14:paraId="5BA4A99B">
      <w:pPr>
        <w:spacing w:line="360" w:lineRule="auto"/>
        <w:ind w:firstLine="480" w:firstLineChars="200"/>
        <w:outlineLvl w:val="2"/>
        <w:rPr>
          <w:rFonts w:ascii="楷体" w:hAnsi="楷体" w:eastAsia="楷体"/>
          <w:b/>
          <w:bCs/>
          <w:snapToGrid w:val="0"/>
          <w:color w:val="000000"/>
          <w:kern w:val="0"/>
          <w:sz w:val="24"/>
          <w:szCs w:val="24"/>
          <w:lang w:val="en-GB"/>
        </w:rPr>
      </w:pPr>
      <w:r>
        <w:rPr>
          <w:rFonts w:ascii="楷体" w:hAnsi="楷体" w:eastAsia="楷体"/>
          <w:b/>
          <w:bCs/>
          <w:snapToGrid w:val="0"/>
          <w:color w:val="000000"/>
          <w:kern w:val="0"/>
          <w:sz w:val="24"/>
          <w:szCs w:val="24"/>
          <w:lang w:val="en-GB"/>
        </w:rPr>
        <w:t>3. 稻田水分控制对甲烷排放和水稻产量的影响</w:t>
      </w:r>
    </w:p>
    <w:p w14:paraId="570B7BFE">
      <w:pPr>
        <w:spacing w:line="360" w:lineRule="auto"/>
        <w:ind w:firstLine="480" w:firstLineChars="200"/>
        <w:rPr>
          <w:snapToGrid w:val="0"/>
          <w:color w:val="000000"/>
          <w:kern w:val="0"/>
          <w:sz w:val="24"/>
          <w:szCs w:val="24"/>
        </w:rPr>
      </w:pPr>
      <w:r>
        <w:rPr>
          <w:rFonts w:hint="eastAsia"/>
          <w:snapToGrid w:val="0"/>
          <w:color w:val="000000"/>
          <w:kern w:val="0"/>
          <w:sz w:val="24"/>
          <w:szCs w:val="24"/>
        </w:rPr>
        <w:t>在湖南的双季稻轮作田进行了</w:t>
      </w:r>
      <w:r>
        <w:rPr>
          <w:snapToGrid w:val="0"/>
          <w:color w:val="000000"/>
          <w:kern w:val="0"/>
          <w:sz w:val="24"/>
          <w:szCs w:val="24"/>
        </w:rPr>
        <w:t>当地常规灌溉和控制灌溉下的CH</w:t>
      </w:r>
      <w:r>
        <w:rPr>
          <w:snapToGrid w:val="0"/>
          <w:color w:val="000000"/>
          <w:kern w:val="0"/>
          <w:sz w:val="24"/>
          <w:szCs w:val="24"/>
          <w:vertAlign w:val="subscript"/>
        </w:rPr>
        <w:t>4</w:t>
      </w:r>
      <w:r>
        <w:rPr>
          <w:snapToGrid w:val="0"/>
          <w:color w:val="000000"/>
          <w:kern w:val="0"/>
          <w:sz w:val="24"/>
          <w:szCs w:val="24"/>
        </w:rPr>
        <w:t>排放通量研究。</w:t>
      </w:r>
      <w:r>
        <w:rPr>
          <w:rFonts w:hint="eastAsia"/>
          <w:snapToGrid w:val="0"/>
          <w:color w:val="000000"/>
          <w:kern w:val="0"/>
          <w:sz w:val="24"/>
          <w:szCs w:val="24"/>
        </w:rPr>
        <w:t>在早稻季，稻田CH</w:t>
      </w:r>
      <w:r>
        <w:rPr>
          <w:rFonts w:hint="eastAsia"/>
          <w:snapToGrid w:val="0"/>
          <w:color w:val="000000"/>
          <w:kern w:val="0"/>
          <w:sz w:val="24"/>
          <w:szCs w:val="24"/>
          <w:vertAlign w:val="subscript"/>
        </w:rPr>
        <w:t>4</w:t>
      </w:r>
      <w:r>
        <w:rPr>
          <w:rFonts w:hint="eastAsia"/>
          <w:snapToGrid w:val="0"/>
          <w:color w:val="000000"/>
          <w:kern w:val="0"/>
          <w:sz w:val="24"/>
          <w:szCs w:val="24"/>
        </w:rPr>
        <w:t>排放量最初较低，分蘖期逐渐增加，在中期排水或控制灌溉周期中有所下降，但在复水后，稻田CH</w:t>
      </w:r>
      <w:r>
        <w:rPr>
          <w:rFonts w:hint="eastAsia"/>
          <w:snapToGrid w:val="0"/>
          <w:color w:val="000000"/>
          <w:kern w:val="0"/>
          <w:sz w:val="24"/>
          <w:szCs w:val="24"/>
          <w:vertAlign w:val="subscript"/>
        </w:rPr>
        <w:t>4</w:t>
      </w:r>
      <w:r>
        <w:rPr>
          <w:rFonts w:hint="eastAsia"/>
          <w:snapToGrid w:val="0"/>
          <w:color w:val="000000"/>
          <w:kern w:val="0"/>
          <w:sz w:val="24"/>
          <w:szCs w:val="24"/>
        </w:rPr>
        <w:t>排放量恢复并在灌浆到成熟期间维持在较高水平；在晚稻季，CH</w:t>
      </w:r>
      <w:r>
        <w:rPr>
          <w:rFonts w:hint="eastAsia"/>
          <w:snapToGrid w:val="0"/>
          <w:color w:val="000000"/>
          <w:kern w:val="0"/>
          <w:sz w:val="24"/>
          <w:szCs w:val="24"/>
          <w:vertAlign w:val="subscript"/>
        </w:rPr>
        <w:t>4</w:t>
      </w:r>
      <w:r>
        <w:rPr>
          <w:rFonts w:hint="eastAsia"/>
          <w:snapToGrid w:val="0"/>
          <w:color w:val="000000"/>
          <w:kern w:val="0"/>
          <w:sz w:val="24"/>
          <w:szCs w:val="24"/>
        </w:rPr>
        <w:t>排放量在分蘖后期达到峰值，稻田CH</w:t>
      </w:r>
      <w:r>
        <w:rPr>
          <w:rFonts w:hint="eastAsia"/>
          <w:snapToGrid w:val="0"/>
          <w:color w:val="000000"/>
          <w:kern w:val="0"/>
          <w:sz w:val="24"/>
          <w:szCs w:val="24"/>
          <w:vertAlign w:val="subscript"/>
        </w:rPr>
        <w:t>4</w:t>
      </w:r>
      <w:r>
        <w:rPr>
          <w:rFonts w:hint="eastAsia"/>
          <w:snapToGrid w:val="0"/>
          <w:color w:val="000000"/>
          <w:kern w:val="0"/>
          <w:sz w:val="24"/>
          <w:szCs w:val="24"/>
        </w:rPr>
        <w:t>排放量在中期排水或控制灌溉周期中有所下降。然后在排水旺季下降，随后由于气温下降而保持在较低水平。控制灌溉措施中的CH</w:t>
      </w:r>
      <w:r>
        <w:rPr>
          <w:rFonts w:hint="eastAsia"/>
          <w:snapToGrid w:val="0"/>
          <w:color w:val="000000"/>
          <w:kern w:val="0"/>
          <w:sz w:val="24"/>
          <w:szCs w:val="24"/>
          <w:vertAlign w:val="subscript"/>
        </w:rPr>
        <w:t>4</w:t>
      </w:r>
      <w:r>
        <w:rPr>
          <w:rFonts w:hint="eastAsia"/>
          <w:snapToGrid w:val="0"/>
          <w:color w:val="000000"/>
          <w:kern w:val="0"/>
          <w:sz w:val="24"/>
          <w:szCs w:val="24"/>
        </w:rPr>
        <w:t>通量在控制灌溉循环后显著降低。常规灌溉和控制灌溉两个季节的平均CH</w:t>
      </w:r>
      <w:r>
        <w:rPr>
          <w:rFonts w:hint="eastAsia"/>
          <w:snapToGrid w:val="0"/>
          <w:color w:val="000000"/>
          <w:kern w:val="0"/>
          <w:sz w:val="24"/>
          <w:szCs w:val="24"/>
          <w:vertAlign w:val="subscript"/>
        </w:rPr>
        <w:t>4</w:t>
      </w:r>
      <w:r>
        <w:rPr>
          <w:rFonts w:hint="eastAsia"/>
          <w:snapToGrid w:val="0"/>
          <w:color w:val="000000"/>
          <w:kern w:val="0"/>
          <w:sz w:val="24"/>
          <w:szCs w:val="24"/>
        </w:rPr>
        <w:t>排放量分别为164.7、131.0、209.2和121.4</w:t>
      </w:r>
      <w:r>
        <w:rPr>
          <w:snapToGrid w:val="0"/>
          <w:color w:val="000000"/>
          <w:kern w:val="0"/>
          <w:sz w:val="24"/>
          <w:szCs w:val="24"/>
        </w:rPr>
        <w:t xml:space="preserve"> kg ha</w:t>
      </w:r>
      <w:r>
        <w:rPr>
          <w:snapToGrid w:val="0"/>
          <w:color w:val="000000"/>
          <w:kern w:val="0"/>
          <w:sz w:val="24"/>
          <w:szCs w:val="24"/>
          <w:vertAlign w:val="superscript"/>
        </w:rPr>
        <w:t>− 1</w:t>
      </w:r>
      <w:r>
        <w:rPr>
          <w:rFonts w:hint="eastAsia"/>
          <w:snapToGrid w:val="0"/>
          <w:color w:val="000000"/>
          <w:kern w:val="0"/>
          <w:sz w:val="24"/>
          <w:szCs w:val="24"/>
        </w:rPr>
        <w:t>。控制灌溉处理的</w:t>
      </w:r>
      <w:r>
        <w:rPr>
          <w:snapToGrid w:val="0"/>
          <w:color w:val="000000"/>
          <w:kern w:val="0"/>
          <w:sz w:val="24"/>
          <w:szCs w:val="24"/>
        </w:rPr>
        <w:t>CH</w:t>
      </w:r>
      <w:r>
        <w:rPr>
          <w:snapToGrid w:val="0"/>
          <w:color w:val="000000"/>
          <w:kern w:val="0"/>
          <w:sz w:val="24"/>
          <w:szCs w:val="24"/>
          <w:vertAlign w:val="subscript"/>
        </w:rPr>
        <w:t>4</w:t>
      </w:r>
      <w:r>
        <w:rPr>
          <w:rFonts w:hint="eastAsia"/>
          <w:snapToGrid w:val="0"/>
          <w:color w:val="000000"/>
          <w:kern w:val="0"/>
          <w:sz w:val="24"/>
          <w:szCs w:val="24"/>
        </w:rPr>
        <w:t>排放量在早稻季分别减少了</w:t>
      </w:r>
      <w:r>
        <w:rPr>
          <w:snapToGrid w:val="0"/>
          <w:color w:val="000000"/>
          <w:kern w:val="0"/>
          <w:sz w:val="24"/>
          <w:szCs w:val="24"/>
        </w:rPr>
        <w:t>20.5%</w:t>
      </w:r>
      <w:r>
        <w:rPr>
          <w:rFonts w:hint="eastAsia"/>
          <w:snapToGrid w:val="0"/>
          <w:color w:val="000000"/>
          <w:kern w:val="0"/>
          <w:sz w:val="24"/>
          <w:szCs w:val="24"/>
        </w:rPr>
        <w:t>，晚稻减少</w:t>
      </w:r>
      <w:r>
        <w:rPr>
          <w:snapToGrid w:val="0"/>
          <w:color w:val="000000"/>
          <w:kern w:val="0"/>
          <w:sz w:val="24"/>
          <w:szCs w:val="24"/>
        </w:rPr>
        <w:t>42.0%</w:t>
      </w:r>
      <w:r>
        <w:rPr>
          <w:rFonts w:hint="eastAsia"/>
          <w:snapToGrid w:val="0"/>
          <w:color w:val="000000"/>
          <w:kern w:val="0"/>
          <w:sz w:val="24"/>
          <w:szCs w:val="24"/>
        </w:rPr>
        <w:t>。</w:t>
      </w:r>
      <w:r>
        <w:rPr>
          <w:snapToGrid w:val="0"/>
          <w:color w:val="000000"/>
          <w:kern w:val="0"/>
          <w:sz w:val="24"/>
          <w:szCs w:val="24"/>
        </w:rPr>
        <w:t>显示控制灌溉策略在减少稻田CH</w:t>
      </w:r>
      <w:r>
        <w:rPr>
          <w:snapToGrid w:val="0"/>
          <w:color w:val="000000"/>
          <w:kern w:val="0"/>
          <w:sz w:val="24"/>
          <w:szCs w:val="24"/>
          <w:vertAlign w:val="subscript"/>
        </w:rPr>
        <w:t>4</w:t>
      </w:r>
      <w:r>
        <w:rPr>
          <w:snapToGrid w:val="0"/>
          <w:color w:val="000000"/>
          <w:kern w:val="0"/>
          <w:sz w:val="24"/>
          <w:szCs w:val="24"/>
        </w:rPr>
        <w:t>排放方面的潜在效益。</w:t>
      </w:r>
    </w:p>
    <w:p w14:paraId="6EA0B38F">
      <w:pPr>
        <w:spacing w:line="360" w:lineRule="auto"/>
        <w:jc w:val="center"/>
        <w:rPr>
          <w:sz w:val="24"/>
          <w:szCs w:val="24"/>
        </w:rPr>
      </w:pPr>
      <w:r>
        <w:rPr>
          <w:sz w:val="24"/>
          <w:szCs w:val="24"/>
        </w:rPr>
        <w:drawing>
          <wp:inline distT="0" distB="0" distL="0" distR="0">
            <wp:extent cx="5219700" cy="1594485"/>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19700" cy="1594485"/>
                    </a:xfrm>
                    <a:prstGeom prst="rect">
                      <a:avLst/>
                    </a:prstGeom>
                    <a:noFill/>
                  </pic:spPr>
                </pic:pic>
              </a:graphicData>
            </a:graphic>
          </wp:inline>
        </w:drawing>
      </w:r>
    </w:p>
    <w:p w14:paraId="2615718F">
      <w:pPr>
        <w:spacing w:line="360" w:lineRule="auto"/>
        <w:jc w:val="center"/>
        <w:rPr>
          <w:b/>
          <w:bCs/>
          <w:snapToGrid w:val="0"/>
          <w:color w:val="000000"/>
          <w:kern w:val="0"/>
          <w:sz w:val="24"/>
          <w:szCs w:val="24"/>
        </w:rPr>
      </w:pPr>
      <w:r>
        <w:rPr>
          <w:b/>
          <w:bCs/>
          <w:snapToGrid w:val="0"/>
          <w:color w:val="000000"/>
          <w:kern w:val="0"/>
          <w:sz w:val="24"/>
          <w:szCs w:val="24"/>
        </w:rPr>
        <w:t>图</w:t>
      </w:r>
      <w:r>
        <w:rPr>
          <w:rFonts w:hint="eastAsia"/>
          <w:b/>
          <w:bCs/>
          <w:snapToGrid w:val="0"/>
          <w:color w:val="000000"/>
          <w:kern w:val="0"/>
          <w:sz w:val="24"/>
          <w:szCs w:val="24"/>
        </w:rPr>
        <w:t>4</w:t>
      </w:r>
      <w:r>
        <w:rPr>
          <w:b/>
          <w:bCs/>
          <w:snapToGrid w:val="0"/>
          <w:color w:val="000000"/>
          <w:kern w:val="0"/>
          <w:sz w:val="24"/>
          <w:szCs w:val="24"/>
        </w:rPr>
        <w:t xml:space="preserve"> </w:t>
      </w:r>
      <w:r>
        <w:rPr>
          <w:rFonts w:hint="eastAsia"/>
          <w:b/>
          <w:bCs/>
          <w:snapToGrid w:val="0"/>
          <w:color w:val="000000"/>
          <w:kern w:val="0"/>
          <w:sz w:val="24"/>
          <w:szCs w:val="24"/>
        </w:rPr>
        <w:t>湖南双季稻</w:t>
      </w:r>
      <w:r>
        <w:rPr>
          <w:b/>
          <w:bCs/>
          <w:snapToGrid w:val="0"/>
          <w:color w:val="000000"/>
          <w:kern w:val="0"/>
          <w:sz w:val="24"/>
          <w:szCs w:val="24"/>
        </w:rPr>
        <w:t>不同</w:t>
      </w:r>
      <w:r>
        <w:rPr>
          <w:rFonts w:hint="eastAsia"/>
          <w:b/>
          <w:bCs/>
          <w:snapToGrid w:val="0"/>
          <w:color w:val="000000"/>
          <w:kern w:val="0"/>
          <w:sz w:val="24"/>
          <w:szCs w:val="24"/>
        </w:rPr>
        <w:t>灌溉方式下早稻（a）和晚稻（b）</w:t>
      </w:r>
      <w:r>
        <w:rPr>
          <w:b/>
          <w:bCs/>
          <w:snapToGrid w:val="0"/>
          <w:color w:val="000000"/>
          <w:kern w:val="0"/>
          <w:sz w:val="24"/>
          <w:szCs w:val="24"/>
        </w:rPr>
        <w:t>CH</w:t>
      </w:r>
      <w:r>
        <w:rPr>
          <w:b/>
          <w:bCs/>
          <w:snapToGrid w:val="0"/>
          <w:color w:val="000000"/>
          <w:kern w:val="0"/>
          <w:sz w:val="24"/>
          <w:szCs w:val="24"/>
          <w:vertAlign w:val="subscript"/>
        </w:rPr>
        <w:t>4</w:t>
      </w:r>
      <w:r>
        <w:rPr>
          <w:b/>
          <w:bCs/>
          <w:snapToGrid w:val="0"/>
          <w:color w:val="000000"/>
          <w:kern w:val="0"/>
          <w:sz w:val="24"/>
          <w:szCs w:val="24"/>
        </w:rPr>
        <w:t>排放通量</w:t>
      </w:r>
    </w:p>
    <w:p w14:paraId="1FB23120">
      <w:pPr>
        <w:spacing w:line="360" w:lineRule="auto"/>
        <w:ind w:firstLine="480" w:firstLineChars="200"/>
        <w:rPr>
          <w:snapToGrid w:val="0"/>
          <w:color w:val="000000"/>
          <w:kern w:val="0"/>
          <w:sz w:val="24"/>
          <w:szCs w:val="24"/>
        </w:rPr>
      </w:pPr>
      <w:r>
        <w:rPr>
          <w:snapToGrid w:val="0"/>
          <w:color w:val="000000"/>
          <w:kern w:val="0"/>
          <w:sz w:val="24"/>
          <w:szCs w:val="24"/>
        </w:rPr>
        <w:t>在成熟期各处理选取5个1m</w:t>
      </w:r>
      <w:r>
        <w:rPr>
          <w:snapToGrid w:val="0"/>
          <w:color w:val="000000"/>
          <w:kern w:val="0"/>
          <w:sz w:val="24"/>
          <w:szCs w:val="24"/>
          <w:vertAlign w:val="superscript"/>
        </w:rPr>
        <w:t>2</w:t>
      </w:r>
      <w:r>
        <w:rPr>
          <w:snapToGrid w:val="0"/>
          <w:color w:val="000000"/>
          <w:kern w:val="0"/>
          <w:sz w:val="24"/>
          <w:szCs w:val="24"/>
        </w:rPr>
        <w:t>的水稻取样测产，以风干重测算实际产量，研究结果表明，虽然水稻产量无统计学差异，但控制灌溉要比常规灌溉</w:t>
      </w:r>
      <w:r>
        <w:rPr>
          <w:rFonts w:hint="eastAsia"/>
          <w:snapToGrid w:val="0"/>
          <w:color w:val="000000"/>
          <w:kern w:val="0"/>
          <w:sz w:val="24"/>
          <w:szCs w:val="24"/>
        </w:rPr>
        <w:t>在早稻季</w:t>
      </w:r>
      <w:r>
        <w:rPr>
          <w:snapToGrid w:val="0"/>
          <w:color w:val="000000"/>
          <w:kern w:val="0"/>
          <w:sz w:val="24"/>
          <w:szCs w:val="24"/>
        </w:rPr>
        <w:t>增产</w:t>
      </w:r>
      <w:r>
        <w:rPr>
          <w:rFonts w:hint="eastAsia"/>
          <w:snapToGrid w:val="0"/>
          <w:color w:val="000000"/>
          <w:kern w:val="0"/>
          <w:sz w:val="24"/>
          <w:szCs w:val="24"/>
        </w:rPr>
        <w:t>1.21</w:t>
      </w:r>
      <w:r>
        <w:rPr>
          <w:snapToGrid w:val="0"/>
          <w:color w:val="000000"/>
          <w:kern w:val="0"/>
          <w:sz w:val="24"/>
          <w:szCs w:val="24"/>
        </w:rPr>
        <w:t>%</w:t>
      </w:r>
      <w:r>
        <w:rPr>
          <w:rFonts w:hint="eastAsia"/>
          <w:snapToGrid w:val="0"/>
          <w:color w:val="000000"/>
          <w:kern w:val="0"/>
          <w:sz w:val="24"/>
          <w:szCs w:val="24"/>
        </w:rPr>
        <w:t>，晚稻季增产3.84%</w:t>
      </w:r>
      <w:r>
        <w:rPr>
          <w:snapToGrid w:val="0"/>
          <w:color w:val="000000"/>
          <w:kern w:val="0"/>
          <w:sz w:val="24"/>
          <w:szCs w:val="24"/>
        </w:rPr>
        <w:t>。</w:t>
      </w:r>
    </w:p>
    <w:p w14:paraId="1213589E">
      <w:pPr>
        <w:spacing w:line="360" w:lineRule="auto"/>
        <w:jc w:val="center"/>
        <w:rPr>
          <w:sz w:val="24"/>
          <w:szCs w:val="24"/>
        </w:rPr>
      </w:pPr>
      <w:r>
        <w:rPr>
          <w:sz w:val="24"/>
          <w:szCs w:val="24"/>
        </w:rPr>
        <w:drawing>
          <wp:inline distT="0" distB="0" distL="0" distR="0">
            <wp:extent cx="5219700" cy="1791335"/>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19700" cy="1791335"/>
                    </a:xfrm>
                    <a:prstGeom prst="rect">
                      <a:avLst/>
                    </a:prstGeom>
                    <a:noFill/>
                  </pic:spPr>
                </pic:pic>
              </a:graphicData>
            </a:graphic>
          </wp:inline>
        </w:drawing>
      </w:r>
    </w:p>
    <w:p w14:paraId="0B3B5D86">
      <w:pPr>
        <w:spacing w:line="360" w:lineRule="auto"/>
        <w:jc w:val="center"/>
        <w:rPr>
          <w:b/>
          <w:bCs/>
          <w:snapToGrid w:val="0"/>
          <w:color w:val="000000"/>
          <w:kern w:val="0"/>
          <w:sz w:val="24"/>
          <w:szCs w:val="24"/>
        </w:rPr>
      </w:pPr>
      <w:r>
        <w:rPr>
          <w:b/>
          <w:bCs/>
          <w:snapToGrid w:val="0"/>
          <w:color w:val="000000"/>
          <w:kern w:val="0"/>
          <w:sz w:val="24"/>
          <w:szCs w:val="24"/>
        </w:rPr>
        <w:t>图</w:t>
      </w:r>
      <w:r>
        <w:rPr>
          <w:rFonts w:hint="eastAsia"/>
          <w:b/>
          <w:bCs/>
          <w:snapToGrid w:val="0"/>
          <w:color w:val="000000"/>
          <w:kern w:val="0"/>
          <w:sz w:val="24"/>
          <w:szCs w:val="24"/>
        </w:rPr>
        <w:t>5</w:t>
      </w:r>
      <w:r>
        <w:rPr>
          <w:b/>
          <w:bCs/>
          <w:snapToGrid w:val="0"/>
          <w:color w:val="000000"/>
          <w:kern w:val="0"/>
          <w:sz w:val="24"/>
          <w:szCs w:val="24"/>
        </w:rPr>
        <w:t xml:space="preserve"> </w:t>
      </w:r>
      <w:r>
        <w:rPr>
          <w:rFonts w:hint="eastAsia"/>
          <w:b/>
          <w:bCs/>
          <w:snapToGrid w:val="0"/>
          <w:color w:val="000000"/>
          <w:kern w:val="0"/>
          <w:sz w:val="24"/>
          <w:szCs w:val="24"/>
        </w:rPr>
        <w:t>湖南双季稻轮作</w:t>
      </w:r>
      <w:r>
        <w:rPr>
          <w:b/>
          <w:bCs/>
          <w:snapToGrid w:val="0"/>
          <w:color w:val="000000"/>
          <w:kern w:val="0"/>
          <w:sz w:val="24"/>
          <w:szCs w:val="24"/>
        </w:rPr>
        <w:t>不同处理水稻产量</w:t>
      </w:r>
      <w:r>
        <w:rPr>
          <w:rFonts w:hint="eastAsia"/>
          <w:b/>
          <w:bCs/>
          <w:snapToGrid w:val="0"/>
          <w:color w:val="000000"/>
          <w:kern w:val="0"/>
          <w:sz w:val="24"/>
          <w:szCs w:val="24"/>
        </w:rPr>
        <w:t>（a）和甲烷排放（b）</w:t>
      </w:r>
    </w:p>
    <w:p w14:paraId="7F7F9306">
      <w:pPr>
        <w:spacing w:line="360" w:lineRule="auto"/>
        <w:ind w:firstLine="480" w:firstLineChars="200"/>
        <w:rPr>
          <w:snapToGrid w:val="0"/>
          <w:color w:val="000000"/>
          <w:kern w:val="0"/>
          <w:sz w:val="24"/>
          <w:szCs w:val="24"/>
        </w:rPr>
      </w:pPr>
      <w:r>
        <w:rPr>
          <w:snapToGrid w:val="0"/>
          <w:color w:val="000000"/>
          <w:kern w:val="0"/>
          <w:sz w:val="24"/>
          <w:szCs w:val="24"/>
        </w:rPr>
        <w:t>在</w:t>
      </w:r>
      <w:r>
        <w:rPr>
          <w:rFonts w:hint="eastAsia"/>
          <w:snapToGrid w:val="0"/>
          <w:color w:val="000000"/>
          <w:kern w:val="0"/>
          <w:sz w:val="24"/>
          <w:szCs w:val="24"/>
        </w:rPr>
        <w:t>江西的</w:t>
      </w:r>
      <w:r>
        <w:rPr>
          <w:snapToGrid w:val="0"/>
          <w:color w:val="000000"/>
          <w:kern w:val="0"/>
          <w:sz w:val="24"/>
          <w:szCs w:val="24"/>
        </w:rPr>
        <w:t>试验结果表明，</w:t>
      </w:r>
      <w:r>
        <w:rPr>
          <w:rFonts w:hint="eastAsia"/>
          <w:snapToGrid w:val="0"/>
          <w:color w:val="000000"/>
          <w:kern w:val="0"/>
          <w:sz w:val="24"/>
          <w:szCs w:val="24"/>
        </w:rPr>
        <w:t>早稻季</w:t>
      </w:r>
      <w:r>
        <w:rPr>
          <w:snapToGrid w:val="0"/>
          <w:color w:val="000000"/>
          <w:kern w:val="0"/>
          <w:sz w:val="24"/>
          <w:szCs w:val="24"/>
        </w:rPr>
        <w:t>CH</w:t>
      </w:r>
      <w:r>
        <w:rPr>
          <w:snapToGrid w:val="0"/>
          <w:color w:val="000000"/>
          <w:kern w:val="0"/>
          <w:sz w:val="24"/>
          <w:szCs w:val="24"/>
          <w:vertAlign w:val="subscript"/>
        </w:rPr>
        <w:t>4</w:t>
      </w:r>
      <w:r>
        <w:rPr>
          <w:rFonts w:hint="eastAsia"/>
          <w:snapToGrid w:val="0"/>
          <w:color w:val="000000"/>
          <w:kern w:val="0"/>
          <w:sz w:val="24"/>
          <w:szCs w:val="24"/>
        </w:rPr>
        <w:t>通量呈现先增后减的趋势，常规灌溉和控制灌溉小区的</w:t>
      </w:r>
      <w:r>
        <w:rPr>
          <w:snapToGrid w:val="0"/>
          <w:color w:val="000000"/>
          <w:kern w:val="0"/>
          <w:sz w:val="24"/>
          <w:szCs w:val="24"/>
        </w:rPr>
        <w:t>CH</w:t>
      </w:r>
      <w:r>
        <w:rPr>
          <w:snapToGrid w:val="0"/>
          <w:color w:val="000000"/>
          <w:kern w:val="0"/>
          <w:sz w:val="24"/>
          <w:szCs w:val="24"/>
          <w:vertAlign w:val="subscript"/>
        </w:rPr>
        <w:t>4</w:t>
      </w:r>
      <w:r>
        <w:rPr>
          <w:rFonts w:hint="eastAsia"/>
          <w:snapToGrid w:val="0"/>
          <w:color w:val="000000"/>
          <w:kern w:val="0"/>
          <w:sz w:val="24"/>
          <w:szCs w:val="24"/>
        </w:rPr>
        <w:t>通量在早稻中期出现了两个小的峰值，而常规灌溉小区的峰值较大（图6a）。与常规灌溉小区相比，控制灌溉小区在早稻季的</w:t>
      </w:r>
      <w:r>
        <w:rPr>
          <w:snapToGrid w:val="0"/>
          <w:color w:val="000000"/>
          <w:kern w:val="0"/>
          <w:sz w:val="24"/>
          <w:szCs w:val="24"/>
        </w:rPr>
        <w:t>CH</w:t>
      </w:r>
      <w:r>
        <w:rPr>
          <w:snapToGrid w:val="0"/>
          <w:color w:val="000000"/>
          <w:kern w:val="0"/>
          <w:sz w:val="24"/>
          <w:szCs w:val="24"/>
          <w:vertAlign w:val="subscript"/>
        </w:rPr>
        <w:t>4</w:t>
      </w:r>
      <w:r>
        <w:rPr>
          <w:rFonts w:hint="eastAsia"/>
          <w:snapToGrid w:val="0"/>
          <w:color w:val="000000"/>
          <w:kern w:val="0"/>
          <w:sz w:val="24"/>
          <w:szCs w:val="24"/>
        </w:rPr>
        <w:t>排放量分别减少了50.1</w:t>
      </w:r>
      <w:r>
        <w:rPr>
          <w:snapToGrid w:val="0"/>
          <w:color w:val="000000"/>
          <w:kern w:val="0"/>
          <w:sz w:val="24"/>
          <w:szCs w:val="24"/>
        </w:rPr>
        <w:t>%</w:t>
      </w:r>
      <w:r>
        <w:rPr>
          <w:rFonts w:hint="eastAsia"/>
          <w:snapToGrid w:val="0"/>
          <w:color w:val="000000"/>
          <w:kern w:val="0"/>
          <w:sz w:val="24"/>
          <w:szCs w:val="24"/>
        </w:rPr>
        <w:t>（图7b）。晚稻生长季不同灌溉处理样地CH</w:t>
      </w:r>
      <w:r>
        <w:rPr>
          <w:rFonts w:hint="eastAsia"/>
          <w:snapToGrid w:val="0"/>
          <w:color w:val="000000"/>
          <w:kern w:val="0"/>
          <w:sz w:val="24"/>
          <w:szCs w:val="24"/>
          <w:vertAlign w:val="subscript"/>
        </w:rPr>
        <w:t>4</w:t>
      </w:r>
      <w:r>
        <w:rPr>
          <w:rFonts w:hint="eastAsia"/>
          <w:snapToGrid w:val="0"/>
          <w:color w:val="000000"/>
          <w:kern w:val="0"/>
          <w:sz w:val="24"/>
          <w:szCs w:val="24"/>
        </w:rPr>
        <w:t>通量时间趋势相似但幅度不同（图6b）。7月晚稻移栽后CH</w:t>
      </w:r>
      <w:r>
        <w:rPr>
          <w:rFonts w:hint="eastAsia"/>
          <w:snapToGrid w:val="0"/>
          <w:color w:val="000000"/>
          <w:kern w:val="0"/>
          <w:sz w:val="24"/>
          <w:szCs w:val="24"/>
          <w:vertAlign w:val="subscript"/>
        </w:rPr>
        <w:t>4</w:t>
      </w:r>
      <w:r>
        <w:rPr>
          <w:rFonts w:hint="eastAsia"/>
          <w:snapToGrid w:val="0"/>
          <w:color w:val="000000"/>
          <w:kern w:val="0"/>
          <w:sz w:val="24"/>
          <w:szCs w:val="24"/>
        </w:rPr>
        <w:t>通量急剧上升，最高通量出现在移栽后几天到三周，然后逐渐下降到晚稻季的背景水平。与常规灌溉样地相比，控制灌溉样地在晚稻季分别使CH</w:t>
      </w:r>
      <w:r>
        <w:rPr>
          <w:rFonts w:hint="eastAsia"/>
          <w:snapToGrid w:val="0"/>
          <w:color w:val="000000"/>
          <w:kern w:val="0"/>
          <w:sz w:val="24"/>
          <w:szCs w:val="24"/>
          <w:vertAlign w:val="subscript"/>
        </w:rPr>
        <w:t>4</w:t>
      </w:r>
      <w:r>
        <w:rPr>
          <w:rFonts w:hint="eastAsia"/>
          <w:snapToGrid w:val="0"/>
          <w:color w:val="000000"/>
          <w:kern w:val="0"/>
          <w:sz w:val="24"/>
          <w:szCs w:val="24"/>
        </w:rPr>
        <w:t>排放量减少了43.6%（图7b）。全年CH</w:t>
      </w:r>
      <w:r>
        <w:rPr>
          <w:rFonts w:hint="eastAsia"/>
          <w:snapToGrid w:val="0"/>
          <w:color w:val="000000"/>
          <w:kern w:val="0"/>
          <w:sz w:val="24"/>
          <w:szCs w:val="24"/>
          <w:vertAlign w:val="subscript"/>
        </w:rPr>
        <w:t>4</w:t>
      </w:r>
      <w:r>
        <w:rPr>
          <w:rFonts w:hint="eastAsia"/>
          <w:snapToGrid w:val="0"/>
          <w:color w:val="000000"/>
          <w:kern w:val="0"/>
          <w:sz w:val="24"/>
          <w:szCs w:val="24"/>
        </w:rPr>
        <w:t>排放主要来自晚稻季，常规灌溉和控制灌溉样地分别占57.3%和60.3%。</w:t>
      </w:r>
    </w:p>
    <w:p w14:paraId="5C3859F8">
      <w:pPr>
        <w:spacing w:line="360" w:lineRule="auto"/>
        <w:ind w:firstLine="480" w:firstLineChars="200"/>
        <w:rPr>
          <w:snapToGrid w:val="0"/>
          <w:color w:val="000000"/>
          <w:kern w:val="0"/>
          <w:sz w:val="24"/>
          <w:szCs w:val="24"/>
        </w:rPr>
      </w:pPr>
      <w:r>
        <w:rPr>
          <w:snapToGrid w:val="0"/>
          <w:color w:val="000000"/>
          <w:kern w:val="0"/>
          <w:sz w:val="24"/>
          <w:szCs w:val="24"/>
        </w:rPr>
        <w:t>在产量上，</w:t>
      </w:r>
      <w:r>
        <w:rPr>
          <w:rFonts w:hint="eastAsia"/>
          <w:snapToGrid w:val="0"/>
          <w:color w:val="000000"/>
          <w:kern w:val="0"/>
          <w:sz w:val="24"/>
          <w:szCs w:val="24"/>
        </w:rPr>
        <w:t>控制灌溉和常规灌溉并未达到显著差异（图7a）。</w:t>
      </w:r>
    </w:p>
    <w:p w14:paraId="78E0649E">
      <w:pPr>
        <w:spacing w:line="360" w:lineRule="auto"/>
        <w:jc w:val="center"/>
        <w:rPr>
          <w:sz w:val="24"/>
          <w:szCs w:val="24"/>
        </w:rPr>
      </w:pPr>
      <w:r>
        <w:rPr>
          <w:sz w:val="24"/>
          <w:szCs w:val="24"/>
        </w:rPr>
        <w:drawing>
          <wp:inline distT="0" distB="0" distL="0" distR="0">
            <wp:extent cx="5219700" cy="174244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19700" cy="1742440"/>
                    </a:xfrm>
                    <a:prstGeom prst="rect">
                      <a:avLst/>
                    </a:prstGeom>
                    <a:noFill/>
                  </pic:spPr>
                </pic:pic>
              </a:graphicData>
            </a:graphic>
          </wp:inline>
        </w:drawing>
      </w:r>
    </w:p>
    <w:p w14:paraId="53810652">
      <w:pPr>
        <w:spacing w:line="360" w:lineRule="auto"/>
        <w:jc w:val="center"/>
        <w:rPr>
          <w:b/>
          <w:bCs/>
          <w:snapToGrid w:val="0"/>
          <w:color w:val="000000"/>
          <w:kern w:val="0"/>
          <w:sz w:val="24"/>
          <w:szCs w:val="24"/>
        </w:rPr>
      </w:pPr>
      <w:r>
        <w:rPr>
          <w:b/>
          <w:bCs/>
          <w:snapToGrid w:val="0"/>
          <w:color w:val="000000"/>
          <w:kern w:val="0"/>
          <w:sz w:val="24"/>
          <w:szCs w:val="24"/>
        </w:rPr>
        <w:t>图</w:t>
      </w:r>
      <w:r>
        <w:rPr>
          <w:rFonts w:hint="eastAsia"/>
          <w:b/>
          <w:bCs/>
          <w:snapToGrid w:val="0"/>
          <w:color w:val="000000"/>
          <w:kern w:val="0"/>
          <w:sz w:val="24"/>
          <w:szCs w:val="24"/>
        </w:rPr>
        <w:t>6</w:t>
      </w:r>
      <w:r>
        <w:rPr>
          <w:b/>
          <w:bCs/>
          <w:snapToGrid w:val="0"/>
          <w:color w:val="000000"/>
          <w:kern w:val="0"/>
          <w:sz w:val="24"/>
          <w:szCs w:val="24"/>
        </w:rPr>
        <w:t xml:space="preserve"> </w:t>
      </w:r>
      <w:r>
        <w:rPr>
          <w:rFonts w:hint="eastAsia"/>
          <w:b/>
          <w:bCs/>
          <w:snapToGrid w:val="0"/>
          <w:color w:val="000000"/>
          <w:kern w:val="0"/>
          <w:sz w:val="24"/>
          <w:szCs w:val="24"/>
        </w:rPr>
        <w:t>江西双季稻</w:t>
      </w:r>
      <w:r>
        <w:rPr>
          <w:b/>
          <w:bCs/>
          <w:snapToGrid w:val="0"/>
          <w:color w:val="000000"/>
          <w:kern w:val="0"/>
          <w:sz w:val="24"/>
          <w:szCs w:val="24"/>
        </w:rPr>
        <w:t>不同处理稻田CH</w:t>
      </w:r>
      <w:r>
        <w:rPr>
          <w:b/>
          <w:bCs/>
          <w:snapToGrid w:val="0"/>
          <w:color w:val="000000"/>
          <w:kern w:val="0"/>
          <w:sz w:val="24"/>
          <w:szCs w:val="24"/>
          <w:vertAlign w:val="subscript"/>
        </w:rPr>
        <w:t>4</w:t>
      </w:r>
      <w:r>
        <w:rPr>
          <w:b/>
          <w:bCs/>
          <w:snapToGrid w:val="0"/>
          <w:color w:val="000000"/>
          <w:kern w:val="0"/>
          <w:sz w:val="24"/>
          <w:szCs w:val="24"/>
        </w:rPr>
        <w:t>排放通量</w:t>
      </w:r>
    </w:p>
    <w:p w14:paraId="17DC5A9F">
      <w:pPr>
        <w:spacing w:line="360" w:lineRule="auto"/>
        <w:jc w:val="center"/>
        <w:rPr>
          <w:sz w:val="24"/>
          <w:szCs w:val="24"/>
        </w:rPr>
      </w:pPr>
      <w:r>
        <w:rPr>
          <w:sz w:val="24"/>
          <w:szCs w:val="24"/>
        </w:rPr>
        <w:drawing>
          <wp:inline distT="0" distB="0" distL="0" distR="0">
            <wp:extent cx="5219700" cy="176911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19700" cy="1769110"/>
                    </a:xfrm>
                    <a:prstGeom prst="rect">
                      <a:avLst/>
                    </a:prstGeom>
                    <a:noFill/>
                  </pic:spPr>
                </pic:pic>
              </a:graphicData>
            </a:graphic>
          </wp:inline>
        </w:drawing>
      </w:r>
    </w:p>
    <w:p w14:paraId="7B8D4FA3">
      <w:pPr>
        <w:spacing w:line="360" w:lineRule="auto"/>
        <w:jc w:val="center"/>
        <w:rPr>
          <w:b/>
          <w:bCs/>
          <w:snapToGrid w:val="0"/>
          <w:color w:val="000000"/>
          <w:kern w:val="0"/>
          <w:sz w:val="24"/>
          <w:szCs w:val="24"/>
        </w:rPr>
      </w:pPr>
      <w:r>
        <w:rPr>
          <w:b/>
          <w:bCs/>
          <w:snapToGrid w:val="0"/>
          <w:color w:val="000000"/>
          <w:kern w:val="0"/>
          <w:sz w:val="24"/>
          <w:szCs w:val="24"/>
        </w:rPr>
        <w:t>图</w:t>
      </w:r>
      <w:r>
        <w:rPr>
          <w:rFonts w:hint="eastAsia"/>
          <w:b/>
          <w:bCs/>
          <w:snapToGrid w:val="0"/>
          <w:color w:val="000000"/>
          <w:kern w:val="0"/>
          <w:sz w:val="24"/>
          <w:szCs w:val="24"/>
        </w:rPr>
        <w:t>7</w:t>
      </w:r>
      <w:r>
        <w:rPr>
          <w:b/>
          <w:bCs/>
          <w:snapToGrid w:val="0"/>
          <w:color w:val="000000"/>
          <w:kern w:val="0"/>
          <w:sz w:val="24"/>
          <w:szCs w:val="24"/>
        </w:rPr>
        <w:t xml:space="preserve"> </w:t>
      </w:r>
      <w:r>
        <w:rPr>
          <w:rFonts w:hint="eastAsia"/>
          <w:b/>
          <w:bCs/>
          <w:snapToGrid w:val="0"/>
          <w:color w:val="000000"/>
          <w:kern w:val="0"/>
          <w:sz w:val="24"/>
          <w:szCs w:val="24"/>
        </w:rPr>
        <w:t>控制灌溉对江西双季稻区产量（a）和甲烷排放（b）的影响</w:t>
      </w:r>
    </w:p>
    <w:p w14:paraId="77352429">
      <w:pPr>
        <w:spacing w:line="360" w:lineRule="auto"/>
        <w:ind w:firstLine="480" w:firstLineChars="200"/>
        <w:outlineLvl w:val="2"/>
        <w:rPr>
          <w:rFonts w:ascii="楷体" w:hAnsi="楷体" w:eastAsia="楷体"/>
          <w:b/>
          <w:bCs/>
          <w:snapToGrid w:val="0"/>
          <w:color w:val="000000"/>
          <w:kern w:val="0"/>
          <w:sz w:val="24"/>
          <w:szCs w:val="24"/>
          <w:lang w:val="en-GB"/>
        </w:rPr>
      </w:pPr>
      <w:r>
        <w:rPr>
          <w:rFonts w:hint="eastAsia" w:ascii="楷体" w:hAnsi="楷体" w:eastAsia="楷体"/>
          <w:b/>
          <w:bCs/>
          <w:snapToGrid w:val="0"/>
          <w:color w:val="000000"/>
          <w:kern w:val="0"/>
          <w:sz w:val="24"/>
          <w:szCs w:val="24"/>
          <w:lang w:val="en-GB"/>
        </w:rPr>
        <w:t>5</w:t>
      </w:r>
      <w:r>
        <w:rPr>
          <w:rFonts w:ascii="楷体" w:hAnsi="楷体" w:eastAsia="楷体"/>
          <w:b/>
          <w:bCs/>
          <w:snapToGrid w:val="0"/>
          <w:color w:val="000000"/>
          <w:kern w:val="0"/>
          <w:sz w:val="24"/>
          <w:szCs w:val="24"/>
          <w:lang w:val="en-GB"/>
        </w:rPr>
        <w:t xml:space="preserve">. </w:t>
      </w:r>
      <w:r>
        <w:rPr>
          <w:rFonts w:hint="eastAsia" w:ascii="楷体" w:hAnsi="楷体" w:eastAsia="楷体"/>
          <w:b/>
          <w:bCs/>
          <w:snapToGrid w:val="0"/>
          <w:color w:val="000000"/>
          <w:kern w:val="0"/>
          <w:sz w:val="24"/>
          <w:szCs w:val="24"/>
          <w:lang w:val="en-GB"/>
        </w:rPr>
        <w:t>土壤保育措施对土壤性质的影响</w:t>
      </w:r>
    </w:p>
    <w:p w14:paraId="4CB93427">
      <w:pPr>
        <w:spacing w:line="360" w:lineRule="auto"/>
        <w:ind w:firstLine="480" w:firstLineChars="200"/>
        <w:outlineLvl w:val="2"/>
        <w:rPr>
          <w:rFonts w:ascii="楷体" w:hAnsi="楷体" w:eastAsia="楷体"/>
          <w:b/>
          <w:bCs/>
          <w:snapToGrid w:val="0"/>
          <w:color w:val="000000"/>
          <w:kern w:val="0"/>
          <w:sz w:val="24"/>
          <w:szCs w:val="24"/>
          <w:lang w:val="en-GB"/>
        </w:rPr>
      </w:pPr>
      <w:r>
        <w:rPr>
          <w:rFonts w:hint="eastAsia" w:ascii="楷体" w:hAnsi="楷体" w:eastAsia="楷体"/>
          <w:b/>
          <w:bCs/>
          <w:snapToGrid w:val="0"/>
          <w:color w:val="000000"/>
          <w:kern w:val="0"/>
          <w:sz w:val="24"/>
          <w:szCs w:val="24"/>
          <w:lang w:val="en-GB"/>
        </w:rPr>
        <w:t>5.1湖南祁阳实验</w:t>
      </w:r>
    </w:p>
    <w:p w14:paraId="78128E5C">
      <w:pPr>
        <w:spacing w:line="360" w:lineRule="auto"/>
        <w:ind w:firstLine="480" w:firstLineChars="200"/>
        <w:rPr>
          <w:snapToGrid w:val="0"/>
          <w:color w:val="000000"/>
          <w:kern w:val="0"/>
          <w:sz w:val="24"/>
          <w:szCs w:val="24"/>
        </w:rPr>
      </w:pPr>
      <w:r>
        <w:rPr>
          <w:rFonts w:hint="eastAsia"/>
          <w:snapToGrid w:val="0"/>
          <w:color w:val="000000"/>
          <w:kern w:val="0"/>
          <w:sz w:val="24"/>
          <w:szCs w:val="24"/>
        </w:rPr>
        <w:t>在湖南进行的双季稻轮作试验结果表明，实施土壤保育和肥料管理措施后，土壤有机质和有效磷含量均呈现出显著性增加。具体而言，与常规处理相比，土壤有机质含量平均提高了29.0%，有效磷含量则平均增加了38.4%，速效钾含量提高了59.0%，微生物量碳14.0%，微生物量氮提高了152.4%（见表2）。此外，土壤保育措施还对微生物群落的多样性产生了积极影响，显著提高了10.3%。这些结果表明，土壤保育措施对于提升土壤质量和生物活性具有重要作用。</w:t>
      </w:r>
    </w:p>
    <w:p w14:paraId="7AEC6996">
      <w:pPr>
        <w:ind w:firstLine="480"/>
        <w:jc w:val="center"/>
        <w:rPr>
          <w:snapToGrid w:val="0"/>
          <w:color w:val="000000"/>
          <w:kern w:val="0"/>
          <w:sz w:val="24"/>
          <w:szCs w:val="24"/>
        </w:rPr>
      </w:pPr>
      <w:r>
        <w:rPr>
          <w:rFonts w:hint="eastAsia"/>
          <w:snapToGrid w:val="0"/>
          <w:color w:val="000000"/>
          <w:kern w:val="0"/>
          <w:sz w:val="24"/>
          <w:szCs w:val="24"/>
        </w:rPr>
        <w:t>表2 不同处理方式对湖南祁阳双季稻土壤性质的影响</w:t>
      </w:r>
    </w:p>
    <w:tbl>
      <w:tblPr>
        <w:tblStyle w:val="13"/>
        <w:tblW w:w="976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53"/>
        <w:gridCol w:w="941"/>
        <w:gridCol w:w="826"/>
        <w:gridCol w:w="973"/>
        <w:gridCol w:w="973"/>
        <w:gridCol w:w="1087"/>
        <w:gridCol w:w="1074"/>
        <w:gridCol w:w="1134"/>
        <w:gridCol w:w="1601"/>
      </w:tblGrid>
      <w:tr w14:paraId="0BCBCA1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1153" w:type="dxa"/>
            <w:tcBorders>
              <w:bottom w:val="nil"/>
            </w:tcBorders>
            <w:shd w:val="clear" w:color="auto" w:fill="auto"/>
          </w:tcPr>
          <w:p w14:paraId="5A9B9D98">
            <w:pPr>
              <w:jc w:val="center"/>
              <w:rPr>
                <w:snapToGrid w:val="0"/>
                <w:color w:val="000000"/>
                <w:kern w:val="0"/>
                <w:szCs w:val="21"/>
              </w:rPr>
            </w:pPr>
            <w:r>
              <w:rPr>
                <w:snapToGrid w:val="0"/>
                <w:color w:val="000000"/>
                <w:kern w:val="0"/>
                <w:szCs w:val="21"/>
              </w:rPr>
              <w:t>处理</w:t>
            </w:r>
          </w:p>
        </w:tc>
        <w:tc>
          <w:tcPr>
            <w:tcW w:w="941" w:type="dxa"/>
            <w:tcBorders>
              <w:bottom w:val="nil"/>
            </w:tcBorders>
            <w:shd w:val="clear" w:color="auto" w:fill="auto"/>
          </w:tcPr>
          <w:p w14:paraId="1EF9C509">
            <w:pPr>
              <w:jc w:val="center"/>
              <w:rPr>
                <w:snapToGrid w:val="0"/>
                <w:color w:val="000000"/>
                <w:kern w:val="0"/>
                <w:szCs w:val="21"/>
              </w:rPr>
            </w:pPr>
            <w:r>
              <w:rPr>
                <w:snapToGrid w:val="0"/>
                <w:color w:val="000000"/>
                <w:kern w:val="0"/>
                <w:szCs w:val="21"/>
              </w:rPr>
              <w:t>有机</w:t>
            </w:r>
            <w:r>
              <w:rPr>
                <w:rFonts w:hint="eastAsia"/>
                <w:snapToGrid w:val="0"/>
                <w:color w:val="000000"/>
                <w:kern w:val="0"/>
                <w:szCs w:val="21"/>
              </w:rPr>
              <w:t>质</w:t>
            </w:r>
          </w:p>
        </w:tc>
        <w:tc>
          <w:tcPr>
            <w:tcW w:w="826" w:type="dxa"/>
            <w:tcBorders>
              <w:bottom w:val="nil"/>
            </w:tcBorders>
            <w:shd w:val="clear" w:color="auto" w:fill="auto"/>
          </w:tcPr>
          <w:p w14:paraId="6F08A490">
            <w:pPr>
              <w:jc w:val="center"/>
              <w:rPr>
                <w:snapToGrid w:val="0"/>
                <w:color w:val="000000"/>
                <w:kern w:val="0"/>
                <w:szCs w:val="21"/>
              </w:rPr>
            </w:pPr>
            <w:r>
              <w:rPr>
                <w:snapToGrid w:val="0"/>
                <w:color w:val="000000"/>
                <w:kern w:val="0"/>
                <w:szCs w:val="21"/>
              </w:rPr>
              <w:t>全氮</w:t>
            </w:r>
          </w:p>
        </w:tc>
        <w:tc>
          <w:tcPr>
            <w:tcW w:w="973" w:type="dxa"/>
            <w:tcBorders>
              <w:bottom w:val="nil"/>
            </w:tcBorders>
          </w:tcPr>
          <w:p w14:paraId="399E0E4A">
            <w:pPr>
              <w:jc w:val="center"/>
              <w:rPr>
                <w:snapToGrid w:val="0"/>
                <w:color w:val="000000"/>
                <w:kern w:val="0"/>
                <w:szCs w:val="21"/>
              </w:rPr>
            </w:pPr>
            <w:r>
              <w:rPr>
                <w:rFonts w:hint="eastAsia"/>
                <w:snapToGrid w:val="0"/>
                <w:color w:val="000000"/>
                <w:kern w:val="0"/>
                <w:szCs w:val="21"/>
              </w:rPr>
              <w:t>pH</w:t>
            </w:r>
          </w:p>
        </w:tc>
        <w:tc>
          <w:tcPr>
            <w:tcW w:w="973" w:type="dxa"/>
            <w:tcBorders>
              <w:bottom w:val="nil"/>
            </w:tcBorders>
          </w:tcPr>
          <w:p w14:paraId="7F970EF6">
            <w:pPr>
              <w:jc w:val="center"/>
              <w:rPr>
                <w:snapToGrid w:val="0"/>
                <w:color w:val="000000"/>
                <w:kern w:val="0"/>
                <w:szCs w:val="21"/>
              </w:rPr>
            </w:pPr>
            <w:r>
              <w:rPr>
                <w:snapToGrid w:val="0"/>
                <w:color w:val="000000"/>
                <w:kern w:val="0"/>
                <w:szCs w:val="21"/>
              </w:rPr>
              <w:t>有效磷</w:t>
            </w:r>
          </w:p>
        </w:tc>
        <w:tc>
          <w:tcPr>
            <w:tcW w:w="1087" w:type="dxa"/>
            <w:tcBorders>
              <w:bottom w:val="nil"/>
            </w:tcBorders>
          </w:tcPr>
          <w:p w14:paraId="6125EAA7">
            <w:pPr>
              <w:jc w:val="center"/>
              <w:rPr>
                <w:snapToGrid w:val="0"/>
                <w:color w:val="000000"/>
                <w:kern w:val="0"/>
                <w:szCs w:val="21"/>
              </w:rPr>
            </w:pPr>
            <w:r>
              <w:rPr>
                <w:snapToGrid w:val="0"/>
                <w:color w:val="000000"/>
                <w:kern w:val="0"/>
                <w:szCs w:val="21"/>
              </w:rPr>
              <w:t>速效钾</w:t>
            </w:r>
          </w:p>
        </w:tc>
        <w:tc>
          <w:tcPr>
            <w:tcW w:w="1074" w:type="dxa"/>
            <w:tcBorders>
              <w:bottom w:val="nil"/>
            </w:tcBorders>
            <w:shd w:val="clear" w:color="auto" w:fill="auto"/>
          </w:tcPr>
          <w:p w14:paraId="06A7E91B">
            <w:pPr>
              <w:jc w:val="center"/>
              <w:rPr>
                <w:snapToGrid w:val="0"/>
                <w:color w:val="000000"/>
                <w:kern w:val="0"/>
                <w:szCs w:val="21"/>
              </w:rPr>
            </w:pPr>
            <w:r>
              <w:rPr>
                <w:snapToGrid w:val="0"/>
                <w:color w:val="000000"/>
                <w:kern w:val="0"/>
                <w:szCs w:val="21"/>
              </w:rPr>
              <w:t>微生物量碳</w:t>
            </w:r>
          </w:p>
        </w:tc>
        <w:tc>
          <w:tcPr>
            <w:tcW w:w="1134" w:type="dxa"/>
            <w:tcBorders>
              <w:bottom w:val="nil"/>
            </w:tcBorders>
            <w:shd w:val="clear" w:color="auto" w:fill="auto"/>
          </w:tcPr>
          <w:p w14:paraId="72A65B84">
            <w:pPr>
              <w:jc w:val="center"/>
              <w:rPr>
                <w:snapToGrid w:val="0"/>
                <w:color w:val="000000"/>
                <w:kern w:val="0"/>
                <w:szCs w:val="21"/>
              </w:rPr>
            </w:pPr>
            <w:r>
              <w:rPr>
                <w:snapToGrid w:val="0"/>
                <w:color w:val="000000"/>
                <w:kern w:val="0"/>
                <w:szCs w:val="21"/>
              </w:rPr>
              <w:t>微生物量氮</w:t>
            </w:r>
          </w:p>
        </w:tc>
        <w:tc>
          <w:tcPr>
            <w:tcW w:w="1601" w:type="dxa"/>
            <w:tcBorders>
              <w:bottom w:val="nil"/>
            </w:tcBorders>
          </w:tcPr>
          <w:p w14:paraId="7311C552">
            <w:pPr>
              <w:jc w:val="center"/>
              <w:rPr>
                <w:snapToGrid w:val="0"/>
                <w:color w:val="000000"/>
                <w:kern w:val="0"/>
                <w:szCs w:val="21"/>
              </w:rPr>
            </w:pPr>
            <w:r>
              <w:rPr>
                <w:rFonts w:hint="eastAsia"/>
                <w:snapToGrid w:val="0"/>
                <w:color w:val="000000"/>
                <w:kern w:val="0"/>
                <w:szCs w:val="21"/>
              </w:rPr>
              <w:t>微生物</w:t>
            </w:r>
            <w:r>
              <w:rPr>
                <w:snapToGrid w:val="0"/>
                <w:color w:val="000000"/>
                <w:kern w:val="0"/>
                <w:szCs w:val="21"/>
              </w:rPr>
              <w:t>Shannon</w:t>
            </w:r>
            <w:r>
              <w:rPr>
                <w:rFonts w:hint="eastAsia"/>
                <w:snapToGrid w:val="0"/>
                <w:color w:val="000000"/>
                <w:kern w:val="0"/>
                <w:szCs w:val="21"/>
              </w:rPr>
              <w:t>指数</w:t>
            </w:r>
          </w:p>
        </w:tc>
      </w:tr>
      <w:tr w14:paraId="5576701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153" w:type="dxa"/>
            <w:tcBorders>
              <w:top w:val="nil"/>
              <w:bottom w:val="single" w:color="auto" w:sz="4" w:space="0"/>
            </w:tcBorders>
            <w:shd w:val="clear" w:color="auto" w:fill="auto"/>
            <w:vAlign w:val="center"/>
          </w:tcPr>
          <w:p w14:paraId="24137140">
            <w:pPr>
              <w:jc w:val="center"/>
              <w:rPr>
                <w:snapToGrid w:val="0"/>
                <w:color w:val="000000"/>
                <w:kern w:val="0"/>
                <w:szCs w:val="21"/>
              </w:rPr>
            </w:pPr>
          </w:p>
        </w:tc>
        <w:tc>
          <w:tcPr>
            <w:tcW w:w="941" w:type="dxa"/>
            <w:tcBorders>
              <w:top w:val="nil"/>
              <w:bottom w:val="single" w:color="auto" w:sz="4" w:space="0"/>
            </w:tcBorders>
            <w:shd w:val="clear" w:color="auto" w:fill="auto"/>
            <w:vAlign w:val="center"/>
          </w:tcPr>
          <w:p w14:paraId="18EC68E3">
            <w:pPr>
              <w:jc w:val="center"/>
              <w:rPr>
                <w:snapToGrid w:val="0"/>
                <w:color w:val="000000"/>
                <w:kern w:val="0"/>
                <w:szCs w:val="21"/>
              </w:rPr>
            </w:pPr>
            <w:r>
              <w:rPr>
                <w:snapToGrid w:val="0"/>
                <w:color w:val="000000"/>
                <w:kern w:val="0"/>
                <w:szCs w:val="21"/>
              </w:rPr>
              <w:t>g·kg</w:t>
            </w:r>
            <w:r>
              <w:rPr>
                <w:snapToGrid w:val="0"/>
                <w:color w:val="000000"/>
                <w:kern w:val="0"/>
                <w:szCs w:val="21"/>
                <w:vertAlign w:val="superscript"/>
              </w:rPr>
              <w:t>-1</w:t>
            </w:r>
          </w:p>
        </w:tc>
        <w:tc>
          <w:tcPr>
            <w:tcW w:w="826" w:type="dxa"/>
            <w:tcBorders>
              <w:top w:val="nil"/>
              <w:bottom w:val="single" w:color="auto" w:sz="4" w:space="0"/>
            </w:tcBorders>
            <w:shd w:val="clear" w:color="auto" w:fill="auto"/>
            <w:vAlign w:val="center"/>
          </w:tcPr>
          <w:p w14:paraId="40808EA0">
            <w:pPr>
              <w:jc w:val="center"/>
              <w:rPr>
                <w:snapToGrid w:val="0"/>
                <w:color w:val="000000"/>
                <w:kern w:val="0"/>
                <w:szCs w:val="21"/>
              </w:rPr>
            </w:pPr>
            <w:r>
              <w:rPr>
                <w:snapToGrid w:val="0"/>
                <w:color w:val="000000"/>
                <w:kern w:val="0"/>
                <w:szCs w:val="21"/>
              </w:rPr>
              <w:t>g·kg</w:t>
            </w:r>
            <w:r>
              <w:rPr>
                <w:snapToGrid w:val="0"/>
                <w:color w:val="000000"/>
                <w:kern w:val="0"/>
                <w:szCs w:val="21"/>
                <w:vertAlign w:val="superscript"/>
              </w:rPr>
              <w:t>-1</w:t>
            </w:r>
          </w:p>
        </w:tc>
        <w:tc>
          <w:tcPr>
            <w:tcW w:w="973" w:type="dxa"/>
            <w:tcBorders>
              <w:top w:val="nil"/>
              <w:bottom w:val="single" w:color="auto" w:sz="4" w:space="0"/>
            </w:tcBorders>
          </w:tcPr>
          <w:p w14:paraId="1EEC78E1">
            <w:pPr>
              <w:jc w:val="center"/>
              <w:rPr>
                <w:snapToGrid w:val="0"/>
                <w:color w:val="000000"/>
                <w:kern w:val="0"/>
                <w:szCs w:val="21"/>
              </w:rPr>
            </w:pPr>
          </w:p>
        </w:tc>
        <w:tc>
          <w:tcPr>
            <w:tcW w:w="973" w:type="dxa"/>
            <w:tcBorders>
              <w:top w:val="nil"/>
              <w:bottom w:val="single" w:color="auto" w:sz="4" w:space="0"/>
            </w:tcBorders>
            <w:vAlign w:val="center"/>
          </w:tcPr>
          <w:p w14:paraId="70E600AA">
            <w:pPr>
              <w:jc w:val="center"/>
              <w:rPr>
                <w:snapToGrid w:val="0"/>
                <w:color w:val="000000"/>
                <w:kern w:val="0"/>
                <w:szCs w:val="21"/>
              </w:rPr>
            </w:pPr>
            <w:r>
              <w:rPr>
                <w:snapToGrid w:val="0"/>
                <w:color w:val="000000"/>
                <w:kern w:val="0"/>
                <w:szCs w:val="21"/>
              </w:rPr>
              <w:t>mg·kg</w:t>
            </w:r>
            <w:r>
              <w:rPr>
                <w:snapToGrid w:val="0"/>
                <w:color w:val="000000"/>
                <w:kern w:val="0"/>
                <w:szCs w:val="21"/>
                <w:vertAlign w:val="superscript"/>
              </w:rPr>
              <w:t>-1</w:t>
            </w:r>
          </w:p>
        </w:tc>
        <w:tc>
          <w:tcPr>
            <w:tcW w:w="1087" w:type="dxa"/>
            <w:tcBorders>
              <w:top w:val="nil"/>
              <w:bottom w:val="single" w:color="auto" w:sz="4" w:space="0"/>
            </w:tcBorders>
            <w:vAlign w:val="center"/>
          </w:tcPr>
          <w:p w14:paraId="42B46B0D">
            <w:pPr>
              <w:jc w:val="center"/>
              <w:rPr>
                <w:snapToGrid w:val="0"/>
                <w:color w:val="000000"/>
                <w:kern w:val="0"/>
                <w:szCs w:val="21"/>
              </w:rPr>
            </w:pPr>
            <w:r>
              <w:rPr>
                <w:snapToGrid w:val="0"/>
                <w:color w:val="000000"/>
                <w:kern w:val="0"/>
                <w:szCs w:val="21"/>
              </w:rPr>
              <w:t>mg·kg</w:t>
            </w:r>
            <w:r>
              <w:rPr>
                <w:snapToGrid w:val="0"/>
                <w:color w:val="000000"/>
                <w:kern w:val="0"/>
                <w:szCs w:val="21"/>
                <w:vertAlign w:val="superscript"/>
              </w:rPr>
              <w:t>-1</w:t>
            </w:r>
          </w:p>
        </w:tc>
        <w:tc>
          <w:tcPr>
            <w:tcW w:w="1074" w:type="dxa"/>
            <w:tcBorders>
              <w:top w:val="nil"/>
              <w:bottom w:val="single" w:color="auto" w:sz="4" w:space="0"/>
            </w:tcBorders>
            <w:shd w:val="clear" w:color="auto" w:fill="auto"/>
            <w:vAlign w:val="center"/>
          </w:tcPr>
          <w:p w14:paraId="1E7B9DC7">
            <w:pPr>
              <w:jc w:val="center"/>
              <w:rPr>
                <w:snapToGrid w:val="0"/>
                <w:color w:val="000000"/>
                <w:kern w:val="0"/>
                <w:szCs w:val="21"/>
              </w:rPr>
            </w:pPr>
            <w:r>
              <w:rPr>
                <w:snapToGrid w:val="0"/>
                <w:color w:val="000000"/>
                <w:kern w:val="0"/>
                <w:szCs w:val="21"/>
              </w:rPr>
              <w:t>mg·kg</w:t>
            </w:r>
            <w:r>
              <w:rPr>
                <w:snapToGrid w:val="0"/>
                <w:color w:val="000000"/>
                <w:kern w:val="0"/>
                <w:szCs w:val="21"/>
                <w:vertAlign w:val="superscript"/>
              </w:rPr>
              <w:t>-1</w:t>
            </w:r>
          </w:p>
        </w:tc>
        <w:tc>
          <w:tcPr>
            <w:tcW w:w="1134" w:type="dxa"/>
            <w:tcBorders>
              <w:top w:val="nil"/>
              <w:bottom w:val="single" w:color="auto" w:sz="4" w:space="0"/>
            </w:tcBorders>
            <w:shd w:val="clear" w:color="auto" w:fill="auto"/>
            <w:vAlign w:val="center"/>
          </w:tcPr>
          <w:p w14:paraId="07609CC9">
            <w:pPr>
              <w:jc w:val="center"/>
              <w:rPr>
                <w:snapToGrid w:val="0"/>
                <w:color w:val="000000"/>
                <w:kern w:val="0"/>
                <w:szCs w:val="21"/>
              </w:rPr>
            </w:pPr>
            <w:r>
              <w:rPr>
                <w:snapToGrid w:val="0"/>
                <w:color w:val="000000"/>
                <w:kern w:val="0"/>
                <w:szCs w:val="21"/>
              </w:rPr>
              <w:t>mg·kg</w:t>
            </w:r>
            <w:r>
              <w:rPr>
                <w:snapToGrid w:val="0"/>
                <w:color w:val="000000"/>
                <w:kern w:val="0"/>
                <w:szCs w:val="21"/>
                <w:vertAlign w:val="superscript"/>
              </w:rPr>
              <w:t>-1</w:t>
            </w:r>
          </w:p>
        </w:tc>
        <w:tc>
          <w:tcPr>
            <w:tcW w:w="1601" w:type="dxa"/>
            <w:tcBorders>
              <w:top w:val="nil"/>
              <w:bottom w:val="single" w:color="auto" w:sz="4" w:space="0"/>
            </w:tcBorders>
          </w:tcPr>
          <w:p w14:paraId="206B750E">
            <w:pPr>
              <w:rPr>
                <w:snapToGrid w:val="0"/>
                <w:color w:val="000000"/>
                <w:kern w:val="0"/>
                <w:szCs w:val="21"/>
              </w:rPr>
            </w:pPr>
          </w:p>
        </w:tc>
      </w:tr>
      <w:tr w14:paraId="4AC012B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53" w:type="dxa"/>
            <w:tcBorders>
              <w:top w:val="single" w:color="auto" w:sz="4" w:space="0"/>
            </w:tcBorders>
            <w:shd w:val="clear" w:color="auto" w:fill="auto"/>
            <w:vAlign w:val="center"/>
          </w:tcPr>
          <w:p w14:paraId="3BB7835E">
            <w:pPr>
              <w:jc w:val="center"/>
              <w:rPr>
                <w:snapToGrid w:val="0"/>
                <w:color w:val="000000"/>
                <w:kern w:val="0"/>
                <w:szCs w:val="21"/>
              </w:rPr>
            </w:pPr>
            <w:r>
              <w:rPr>
                <w:snapToGrid w:val="0"/>
                <w:color w:val="000000"/>
                <w:kern w:val="0"/>
                <w:szCs w:val="21"/>
              </w:rPr>
              <w:t>常规处理</w:t>
            </w:r>
          </w:p>
        </w:tc>
        <w:tc>
          <w:tcPr>
            <w:tcW w:w="941" w:type="dxa"/>
            <w:tcBorders>
              <w:top w:val="single" w:color="auto" w:sz="4" w:space="0"/>
            </w:tcBorders>
            <w:shd w:val="clear" w:color="auto" w:fill="auto"/>
            <w:vAlign w:val="center"/>
          </w:tcPr>
          <w:p w14:paraId="0A377289">
            <w:pPr>
              <w:jc w:val="center"/>
              <w:rPr>
                <w:snapToGrid w:val="0"/>
                <w:color w:val="000000"/>
                <w:kern w:val="0"/>
                <w:szCs w:val="21"/>
              </w:rPr>
            </w:pPr>
            <w:r>
              <w:rPr>
                <w:rFonts w:hint="eastAsia"/>
                <w:snapToGrid w:val="0"/>
                <w:color w:val="000000"/>
                <w:kern w:val="0"/>
                <w:szCs w:val="21"/>
              </w:rPr>
              <w:t>21.55</w:t>
            </w:r>
            <w:r>
              <w:rPr>
                <w:snapToGrid w:val="0"/>
                <w:color w:val="000000"/>
                <w:kern w:val="0"/>
                <w:szCs w:val="21"/>
              </w:rPr>
              <w:t xml:space="preserve"> b</w:t>
            </w:r>
          </w:p>
        </w:tc>
        <w:tc>
          <w:tcPr>
            <w:tcW w:w="826" w:type="dxa"/>
            <w:tcBorders>
              <w:top w:val="single" w:color="auto" w:sz="4" w:space="0"/>
            </w:tcBorders>
            <w:shd w:val="clear" w:color="auto" w:fill="auto"/>
            <w:vAlign w:val="center"/>
          </w:tcPr>
          <w:p w14:paraId="0C31ACE4">
            <w:pPr>
              <w:jc w:val="center"/>
              <w:rPr>
                <w:snapToGrid w:val="0"/>
                <w:color w:val="000000"/>
                <w:kern w:val="0"/>
                <w:szCs w:val="21"/>
              </w:rPr>
            </w:pPr>
            <w:r>
              <w:rPr>
                <w:rFonts w:hint="eastAsia"/>
                <w:snapToGrid w:val="0"/>
                <w:color w:val="000000"/>
                <w:kern w:val="0"/>
                <w:szCs w:val="21"/>
              </w:rPr>
              <w:t>1.16</w:t>
            </w:r>
            <w:r>
              <w:rPr>
                <w:snapToGrid w:val="0"/>
                <w:color w:val="000000"/>
                <w:kern w:val="0"/>
                <w:szCs w:val="21"/>
              </w:rPr>
              <w:t xml:space="preserve"> a</w:t>
            </w:r>
          </w:p>
        </w:tc>
        <w:tc>
          <w:tcPr>
            <w:tcW w:w="973" w:type="dxa"/>
            <w:tcBorders>
              <w:top w:val="single" w:color="auto" w:sz="4" w:space="0"/>
            </w:tcBorders>
          </w:tcPr>
          <w:p w14:paraId="68C2665D">
            <w:pPr>
              <w:jc w:val="center"/>
              <w:rPr>
                <w:snapToGrid w:val="0"/>
                <w:color w:val="000000"/>
                <w:kern w:val="0"/>
                <w:szCs w:val="21"/>
              </w:rPr>
            </w:pPr>
            <w:r>
              <w:rPr>
                <w:rFonts w:hint="eastAsia"/>
                <w:snapToGrid w:val="0"/>
                <w:color w:val="000000"/>
                <w:kern w:val="0"/>
                <w:szCs w:val="21"/>
              </w:rPr>
              <w:t>6.29a</w:t>
            </w:r>
          </w:p>
        </w:tc>
        <w:tc>
          <w:tcPr>
            <w:tcW w:w="973" w:type="dxa"/>
            <w:tcBorders>
              <w:top w:val="single" w:color="auto" w:sz="4" w:space="0"/>
            </w:tcBorders>
            <w:vAlign w:val="center"/>
          </w:tcPr>
          <w:p w14:paraId="04DDFF31">
            <w:pPr>
              <w:jc w:val="center"/>
              <w:rPr>
                <w:snapToGrid w:val="0"/>
                <w:color w:val="000000"/>
                <w:kern w:val="0"/>
                <w:szCs w:val="21"/>
              </w:rPr>
            </w:pPr>
            <w:r>
              <w:rPr>
                <w:rFonts w:hint="eastAsia"/>
                <w:snapToGrid w:val="0"/>
                <w:color w:val="000000"/>
                <w:kern w:val="0"/>
                <w:szCs w:val="21"/>
              </w:rPr>
              <w:t>16.4</w:t>
            </w:r>
            <w:r>
              <w:rPr>
                <w:snapToGrid w:val="0"/>
                <w:color w:val="000000"/>
                <w:kern w:val="0"/>
                <w:szCs w:val="21"/>
              </w:rPr>
              <w:t xml:space="preserve"> b</w:t>
            </w:r>
          </w:p>
        </w:tc>
        <w:tc>
          <w:tcPr>
            <w:tcW w:w="1087" w:type="dxa"/>
            <w:tcBorders>
              <w:top w:val="single" w:color="auto" w:sz="4" w:space="0"/>
            </w:tcBorders>
            <w:vAlign w:val="center"/>
          </w:tcPr>
          <w:p w14:paraId="5393A283">
            <w:pPr>
              <w:jc w:val="center"/>
              <w:rPr>
                <w:snapToGrid w:val="0"/>
                <w:color w:val="000000"/>
                <w:kern w:val="0"/>
                <w:szCs w:val="21"/>
              </w:rPr>
            </w:pPr>
            <w:r>
              <w:rPr>
                <w:rFonts w:hint="eastAsia"/>
                <w:snapToGrid w:val="0"/>
                <w:color w:val="000000"/>
                <w:kern w:val="0"/>
                <w:szCs w:val="21"/>
              </w:rPr>
              <w:t>54.7 b</w:t>
            </w:r>
          </w:p>
        </w:tc>
        <w:tc>
          <w:tcPr>
            <w:tcW w:w="1074" w:type="dxa"/>
            <w:tcBorders>
              <w:top w:val="single" w:color="auto" w:sz="4" w:space="0"/>
            </w:tcBorders>
            <w:shd w:val="clear" w:color="auto" w:fill="auto"/>
            <w:vAlign w:val="center"/>
          </w:tcPr>
          <w:p w14:paraId="61CE5FC4">
            <w:pPr>
              <w:jc w:val="center"/>
              <w:rPr>
                <w:snapToGrid w:val="0"/>
                <w:color w:val="000000"/>
                <w:kern w:val="0"/>
                <w:szCs w:val="21"/>
              </w:rPr>
            </w:pPr>
            <w:r>
              <w:rPr>
                <w:rFonts w:hint="eastAsia"/>
                <w:snapToGrid w:val="0"/>
                <w:color w:val="000000"/>
                <w:kern w:val="0"/>
                <w:szCs w:val="21"/>
              </w:rPr>
              <w:t>218.3b</w:t>
            </w:r>
          </w:p>
        </w:tc>
        <w:tc>
          <w:tcPr>
            <w:tcW w:w="1134" w:type="dxa"/>
            <w:tcBorders>
              <w:top w:val="single" w:color="auto" w:sz="4" w:space="0"/>
            </w:tcBorders>
            <w:shd w:val="clear" w:color="auto" w:fill="auto"/>
            <w:vAlign w:val="center"/>
          </w:tcPr>
          <w:p w14:paraId="453CDCC9">
            <w:pPr>
              <w:jc w:val="center"/>
              <w:rPr>
                <w:snapToGrid w:val="0"/>
                <w:color w:val="000000"/>
                <w:kern w:val="0"/>
                <w:szCs w:val="21"/>
              </w:rPr>
            </w:pPr>
            <w:r>
              <w:rPr>
                <w:rFonts w:hint="eastAsia"/>
                <w:snapToGrid w:val="0"/>
                <w:color w:val="000000"/>
                <w:kern w:val="0"/>
                <w:szCs w:val="21"/>
              </w:rPr>
              <w:t>6.1b</w:t>
            </w:r>
          </w:p>
        </w:tc>
        <w:tc>
          <w:tcPr>
            <w:tcW w:w="1601" w:type="dxa"/>
            <w:tcBorders>
              <w:top w:val="single" w:color="auto" w:sz="4" w:space="0"/>
            </w:tcBorders>
          </w:tcPr>
          <w:p w14:paraId="4AEEEB27">
            <w:pPr>
              <w:jc w:val="center"/>
              <w:rPr>
                <w:snapToGrid w:val="0"/>
                <w:color w:val="000000"/>
                <w:kern w:val="0"/>
                <w:szCs w:val="21"/>
              </w:rPr>
            </w:pPr>
            <w:r>
              <w:rPr>
                <w:rFonts w:hint="eastAsia"/>
                <w:snapToGrid w:val="0"/>
                <w:color w:val="000000"/>
                <w:kern w:val="0"/>
                <w:szCs w:val="21"/>
              </w:rPr>
              <w:t>2.33b</w:t>
            </w:r>
          </w:p>
        </w:tc>
      </w:tr>
      <w:tr w14:paraId="5D70E9F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53" w:type="dxa"/>
            <w:shd w:val="clear" w:color="auto" w:fill="auto"/>
            <w:vAlign w:val="center"/>
          </w:tcPr>
          <w:p w14:paraId="459B686D">
            <w:pPr>
              <w:jc w:val="center"/>
              <w:rPr>
                <w:snapToGrid w:val="0"/>
                <w:color w:val="000000"/>
                <w:kern w:val="0"/>
                <w:szCs w:val="21"/>
              </w:rPr>
            </w:pPr>
            <w:r>
              <w:rPr>
                <w:snapToGrid w:val="0"/>
                <w:color w:val="000000"/>
                <w:kern w:val="0"/>
                <w:szCs w:val="21"/>
              </w:rPr>
              <w:t>土壤保育</w:t>
            </w:r>
          </w:p>
        </w:tc>
        <w:tc>
          <w:tcPr>
            <w:tcW w:w="941" w:type="dxa"/>
            <w:shd w:val="clear" w:color="auto" w:fill="auto"/>
            <w:vAlign w:val="center"/>
          </w:tcPr>
          <w:p w14:paraId="7601E4ED">
            <w:pPr>
              <w:jc w:val="center"/>
              <w:rPr>
                <w:snapToGrid w:val="0"/>
                <w:color w:val="000000"/>
                <w:kern w:val="0"/>
                <w:szCs w:val="21"/>
              </w:rPr>
            </w:pPr>
            <w:r>
              <w:rPr>
                <w:rFonts w:hint="eastAsia"/>
                <w:snapToGrid w:val="0"/>
                <w:color w:val="000000"/>
                <w:kern w:val="0"/>
                <w:szCs w:val="21"/>
              </w:rPr>
              <w:t>27.80</w:t>
            </w:r>
            <w:r>
              <w:rPr>
                <w:snapToGrid w:val="0"/>
                <w:color w:val="000000"/>
                <w:kern w:val="0"/>
                <w:szCs w:val="21"/>
              </w:rPr>
              <w:t xml:space="preserve"> a</w:t>
            </w:r>
          </w:p>
        </w:tc>
        <w:tc>
          <w:tcPr>
            <w:tcW w:w="826" w:type="dxa"/>
            <w:shd w:val="clear" w:color="auto" w:fill="auto"/>
            <w:vAlign w:val="center"/>
          </w:tcPr>
          <w:p w14:paraId="41B8554E">
            <w:pPr>
              <w:jc w:val="center"/>
              <w:rPr>
                <w:snapToGrid w:val="0"/>
                <w:color w:val="000000"/>
                <w:kern w:val="0"/>
                <w:szCs w:val="21"/>
              </w:rPr>
            </w:pPr>
            <w:r>
              <w:rPr>
                <w:rFonts w:hint="eastAsia"/>
                <w:snapToGrid w:val="0"/>
                <w:color w:val="000000"/>
                <w:kern w:val="0"/>
                <w:szCs w:val="21"/>
              </w:rPr>
              <w:t>1.31</w:t>
            </w:r>
            <w:r>
              <w:rPr>
                <w:snapToGrid w:val="0"/>
                <w:color w:val="000000"/>
                <w:kern w:val="0"/>
                <w:szCs w:val="21"/>
              </w:rPr>
              <w:t xml:space="preserve"> a</w:t>
            </w:r>
          </w:p>
        </w:tc>
        <w:tc>
          <w:tcPr>
            <w:tcW w:w="973" w:type="dxa"/>
          </w:tcPr>
          <w:p w14:paraId="57AD58E4">
            <w:pPr>
              <w:jc w:val="center"/>
              <w:rPr>
                <w:snapToGrid w:val="0"/>
                <w:color w:val="000000"/>
                <w:kern w:val="0"/>
                <w:szCs w:val="21"/>
              </w:rPr>
            </w:pPr>
            <w:r>
              <w:rPr>
                <w:rFonts w:hint="eastAsia"/>
                <w:snapToGrid w:val="0"/>
                <w:color w:val="000000"/>
                <w:kern w:val="0"/>
                <w:szCs w:val="21"/>
              </w:rPr>
              <w:t>6.22a</w:t>
            </w:r>
          </w:p>
        </w:tc>
        <w:tc>
          <w:tcPr>
            <w:tcW w:w="973" w:type="dxa"/>
            <w:vAlign w:val="center"/>
          </w:tcPr>
          <w:p w14:paraId="30380E94">
            <w:pPr>
              <w:jc w:val="center"/>
              <w:rPr>
                <w:snapToGrid w:val="0"/>
                <w:color w:val="000000"/>
                <w:kern w:val="0"/>
                <w:szCs w:val="21"/>
              </w:rPr>
            </w:pPr>
            <w:r>
              <w:rPr>
                <w:rFonts w:hint="eastAsia"/>
                <w:snapToGrid w:val="0"/>
                <w:color w:val="000000"/>
                <w:kern w:val="0"/>
                <w:szCs w:val="21"/>
              </w:rPr>
              <w:t>22.7</w:t>
            </w:r>
            <w:r>
              <w:rPr>
                <w:snapToGrid w:val="0"/>
                <w:color w:val="000000"/>
                <w:kern w:val="0"/>
                <w:szCs w:val="21"/>
              </w:rPr>
              <w:t xml:space="preserve"> a</w:t>
            </w:r>
          </w:p>
        </w:tc>
        <w:tc>
          <w:tcPr>
            <w:tcW w:w="1087" w:type="dxa"/>
            <w:vAlign w:val="center"/>
          </w:tcPr>
          <w:p w14:paraId="7193FEE2">
            <w:pPr>
              <w:jc w:val="center"/>
              <w:rPr>
                <w:snapToGrid w:val="0"/>
                <w:color w:val="000000"/>
                <w:kern w:val="0"/>
                <w:szCs w:val="21"/>
              </w:rPr>
            </w:pPr>
            <w:r>
              <w:rPr>
                <w:rFonts w:hint="eastAsia"/>
                <w:snapToGrid w:val="0"/>
                <w:color w:val="000000"/>
                <w:kern w:val="0"/>
                <w:szCs w:val="21"/>
              </w:rPr>
              <w:t>87.0</w:t>
            </w:r>
            <w:r>
              <w:rPr>
                <w:snapToGrid w:val="0"/>
                <w:color w:val="000000"/>
                <w:kern w:val="0"/>
                <w:szCs w:val="21"/>
              </w:rPr>
              <w:t xml:space="preserve"> a</w:t>
            </w:r>
          </w:p>
        </w:tc>
        <w:tc>
          <w:tcPr>
            <w:tcW w:w="1074" w:type="dxa"/>
            <w:shd w:val="clear" w:color="auto" w:fill="auto"/>
            <w:vAlign w:val="center"/>
          </w:tcPr>
          <w:p w14:paraId="55A60A01">
            <w:pPr>
              <w:jc w:val="center"/>
              <w:rPr>
                <w:snapToGrid w:val="0"/>
                <w:color w:val="000000"/>
                <w:kern w:val="0"/>
                <w:szCs w:val="21"/>
              </w:rPr>
            </w:pPr>
            <w:r>
              <w:rPr>
                <w:rFonts w:hint="eastAsia"/>
                <w:snapToGrid w:val="0"/>
                <w:color w:val="000000"/>
                <w:kern w:val="0"/>
                <w:szCs w:val="21"/>
              </w:rPr>
              <w:t>248.8</w:t>
            </w:r>
            <w:r>
              <w:rPr>
                <w:snapToGrid w:val="0"/>
                <w:color w:val="000000"/>
                <w:kern w:val="0"/>
                <w:szCs w:val="21"/>
              </w:rPr>
              <w:t>a</w:t>
            </w:r>
          </w:p>
        </w:tc>
        <w:tc>
          <w:tcPr>
            <w:tcW w:w="1134" w:type="dxa"/>
            <w:shd w:val="clear" w:color="auto" w:fill="auto"/>
            <w:vAlign w:val="center"/>
          </w:tcPr>
          <w:p w14:paraId="5DDAA366">
            <w:pPr>
              <w:jc w:val="center"/>
              <w:rPr>
                <w:snapToGrid w:val="0"/>
                <w:color w:val="000000"/>
                <w:kern w:val="0"/>
                <w:szCs w:val="21"/>
              </w:rPr>
            </w:pPr>
            <w:r>
              <w:rPr>
                <w:rFonts w:hint="eastAsia"/>
                <w:snapToGrid w:val="0"/>
                <w:color w:val="000000"/>
                <w:kern w:val="0"/>
                <w:szCs w:val="21"/>
              </w:rPr>
              <w:t>15.4</w:t>
            </w:r>
            <w:r>
              <w:rPr>
                <w:snapToGrid w:val="0"/>
                <w:color w:val="000000"/>
                <w:kern w:val="0"/>
                <w:szCs w:val="21"/>
              </w:rPr>
              <w:t>a</w:t>
            </w:r>
          </w:p>
        </w:tc>
        <w:tc>
          <w:tcPr>
            <w:tcW w:w="1601" w:type="dxa"/>
          </w:tcPr>
          <w:p w14:paraId="27BB747F">
            <w:pPr>
              <w:jc w:val="center"/>
              <w:rPr>
                <w:snapToGrid w:val="0"/>
                <w:color w:val="000000"/>
                <w:kern w:val="0"/>
                <w:szCs w:val="21"/>
              </w:rPr>
            </w:pPr>
            <w:r>
              <w:rPr>
                <w:rFonts w:hint="eastAsia"/>
                <w:snapToGrid w:val="0"/>
                <w:color w:val="000000"/>
                <w:kern w:val="0"/>
                <w:szCs w:val="21"/>
              </w:rPr>
              <w:t>2.57a</w:t>
            </w:r>
          </w:p>
        </w:tc>
      </w:tr>
    </w:tbl>
    <w:p w14:paraId="4FCC09DC">
      <w:pPr>
        <w:spacing w:line="360" w:lineRule="auto"/>
        <w:rPr>
          <w:snapToGrid w:val="0"/>
          <w:color w:val="000000"/>
          <w:kern w:val="0"/>
          <w:sz w:val="24"/>
          <w:szCs w:val="24"/>
        </w:rPr>
      </w:pPr>
    </w:p>
    <w:p w14:paraId="61A31D0E">
      <w:pPr>
        <w:spacing w:line="360" w:lineRule="auto"/>
        <w:ind w:firstLine="480" w:firstLineChars="200"/>
        <w:outlineLvl w:val="2"/>
        <w:rPr>
          <w:rFonts w:ascii="楷体" w:hAnsi="楷体" w:eastAsia="楷体"/>
          <w:b/>
          <w:bCs/>
          <w:snapToGrid w:val="0"/>
          <w:color w:val="000000"/>
          <w:kern w:val="0"/>
          <w:sz w:val="24"/>
          <w:szCs w:val="24"/>
          <w:lang w:val="en-GB"/>
        </w:rPr>
      </w:pPr>
      <w:r>
        <w:rPr>
          <w:rFonts w:hint="eastAsia" w:ascii="楷体" w:hAnsi="楷体" w:eastAsia="楷体"/>
          <w:b/>
          <w:bCs/>
          <w:snapToGrid w:val="0"/>
          <w:color w:val="000000"/>
          <w:kern w:val="0"/>
          <w:sz w:val="24"/>
          <w:szCs w:val="24"/>
          <w:lang w:val="en-GB"/>
        </w:rPr>
        <w:t>5.2江西高安实验</w:t>
      </w:r>
    </w:p>
    <w:p w14:paraId="499E7DA6">
      <w:pPr>
        <w:spacing w:line="360" w:lineRule="auto"/>
        <w:ind w:firstLine="480" w:firstLineChars="200"/>
        <w:rPr>
          <w:snapToGrid w:val="0"/>
          <w:color w:val="000000"/>
          <w:kern w:val="0"/>
          <w:sz w:val="24"/>
          <w:szCs w:val="24"/>
        </w:rPr>
      </w:pPr>
      <w:r>
        <w:rPr>
          <w:rFonts w:hint="eastAsia"/>
          <w:snapToGrid w:val="0"/>
          <w:color w:val="000000"/>
          <w:kern w:val="0"/>
          <w:sz w:val="24"/>
          <w:szCs w:val="24"/>
        </w:rPr>
        <w:t>在江西的实验表明，土壤保育措施可大幅提升土壤肥力。相比于常规施肥，土壤保育措施可显著增加土壤有机碳含量达10.2%，有效磷含量46.1%，速效钾49.1%（p&lt;0.05）。同时土壤保育措施还能提高土壤全氮，pH水平，速效钾,微生物碳氮含量和微生物多样性指数，但这些提升并未达到统计学上的显著水平。</w:t>
      </w:r>
    </w:p>
    <w:p w14:paraId="604721CB">
      <w:pPr>
        <w:ind w:firstLine="480"/>
        <w:jc w:val="center"/>
        <w:rPr>
          <w:snapToGrid w:val="0"/>
          <w:color w:val="000000"/>
          <w:kern w:val="0"/>
          <w:sz w:val="24"/>
          <w:szCs w:val="24"/>
        </w:rPr>
      </w:pPr>
      <w:r>
        <w:rPr>
          <w:rFonts w:hint="eastAsia"/>
          <w:snapToGrid w:val="0"/>
          <w:color w:val="000000"/>
          <w:kern w:val="0"/>
          <w:sz w:val="24"/>
          <w:szCs w:val="24"/>
        </w:rPr>
        <w:t>表3 不同处理方式对江西高安双季稻土壤性质的影响</w:t>
      </w:r>
    </w:p>
    <w:tbl>
      <w:tblPr>
        <w:tblStyle w:val="13"/>
        <w:tblW w:w="976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53"/>
        <w:gridCol w:w="941"/>
        <w:gridCol w:w="826"/>
        <w:gridCol w:w="973"/>
        <w:gridCol w:w="973"/>
        <w:gridCol w:w="1087"/>
        <w:gridCol w:w="1074"/>
        <w:gridCol w:w="1134"/>
        <w:gridCol w:w="1601"/>
      </w:tblGrid>
      <w:tr w14:paraId="611E2BF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1153" w:type="dxa"/>
            <w:tcBorders>
              <w:bottom w:val="nil"/>
            </w:tcBorders>
            <w:shd w:val="clear" w:color="auto" w:fill="auto"/>
          </w:tcPr>
          <w:p w14:paraId="23E85671">
            <w:pPr>
              <w:jc w:val="center"/>
              <w:rPr>
                <w:snapToGrid w:val="0"/>
                <w:color w:val="000000"/>
                <w:kern w:val="0"/>
                <w:szCs w:val="21"/>
              </w:rPr>
            </w:pPr>
            <w:r>
              <w:rPr>
                <w:snapToGrid w:val="0"/>
                <w:color w:val="000000"/>
                <w:kern w:val="0"/>
                <w:szCs w:val="21"/>
              </w:rPr>
              <w:t>处理</w:t>
            </w:r>
          </w:p>
        </w:tc>
        <w:tc>
          <w:tcPr>
            <w:tcW w:w="941" w:type="dxa"/>
            <w:tcBorders>
              <w:bottom w:val="nil"/>
            </w:tcBorders>
            <w:shd w:val="clear" w:color="auto" w:fill="auto"/>
          </w:tcPr>
          <w:p w14:paraId="234903E5">
            <w:pPr>
              <w:jc w:val="center"/>
              <w:rPr>
                <w:snapToGrid w:val="0"/>
                <w:color w:val="000000"/>
                <w:kern w:val="0"/>
                <w:szCs w:val="21"/>
              </w:rPr>
            </w:pPr>
            <w:r>
              <w:rPr>
                <w:snapToGrid w:val="0"/>
                <w:color w:val="000000"/>
                <w:kern w:val="0"/>
                <w:szCs w:val="21"/>
              </w:rPr>
              <w:t>有机</w:t>
            </w:r>
            <w:r>
              <w:rPr>
                <w:rFonts w:hint="eastAsia"/>
                <w:snapToGrid w:val="0"/>
                <w:color w:val="000000"/>
                <w:kern w:val="0"/>
                <w:szCs w:val="21"/>
              </w:rPr>
              <w:t>碳</w:t>
            </w:r>
          </w:p>
        </w:tc>
        <w:tc>
          <w:tcPr>
            <w:tcW w:w="826" w:type="dxa"/>
            <w:tcBorders>
              <w:bottom w:val="nil"/>
            </w:tcBorders>
            <w:shd w:val="clear" w:color="auto" w:fill="auto"/>
          </w:tcPr>
          <w:p w14:paraId="43272FAC">
            <w:pPr>
              <w:jc w:val="center"/>
              <w:rPr>
                <w:snapToGrid w:val="0"/>
                <w:color w:val="000000"/>
                <w:kern w:val="0"/>
                <w:szCs w:val="21"/>
              </w:rPr>
            </w:pPr>
            <w:r>
              <w:rPr>
                <w:snapToGrid w:val="0"/>
                <w:color w:val="000000"/>
                <w:kern w:val="0"/>
                <w:szCs w:val="21"/>
              </w:rPr>
              <w:t>全氮</w:t>
            </w:r>
          </w:p>
        </w:tc>
        <w:tc>
          <w:tcPr>
            <w:tcW w:w="973" w:type="dxa"/>
            <w:tcBorders>
              <w:bottom w:val="nil"/>
            </w:tcBorders>
          </w:tcPr>
          <w:p w14:paraId="515CBE43">
            <w:pPr>
              <w:jc w:val="center"/>
              <w:rPr>
                <w:snapToGrid w:val="0"/>
                <w:color w:val="000000"/>
                <w:kern w:val="0"/>
                <w:szCs w:val="21"/>
              </w:rPr>
            </w:pPr>
            <w:r>
              <w:rPr>
                <w:rFonts w:hint="eastAsia"/>
                <w:snapToGrid w:val="0"/>
                <w:color w:val="000000"/>
                <w:kern w:val="0"/>
                <w:szCs w:val="21"/>
              </w:rPr>
              <w:t>pH</w:t>
            </w:r>
          </w:p>
        </w:tc>
        <w:tc>
          <w:tcPr>
            <w:tcW w:w="973" w:type="dxa"/>
            <w:tcBorders>
              <w:bottom w:val="nil"/>
            </w:tcBorders>
          </w:tcPr>
          <w:p w14:paraId="6DFBF5F1">
            <w:pPr>
              <w:jc w:val="center"/>
              <w:rPr>
                <w:snapToGrid w:val="0"/>
                <w:color w:val="000000"/>
                <w:kern w:val="0"/>
                <w:szCs w:val="21"/>
              </w:rPr>
            </w:pPr>
            <w:r>
              <w:rPr>
                <w:snapToGrid w:val="0"/>
                <w:color w:val="000000"/>
                <w:kern w:val="0"/>
                <w:szCs w:val="21"/>
              </w:rPr>
              <w:t>有效磷</w:t>
            </w:r>
          </w:p>
        </w:tc>
        <w:tc>
          <w:tcPr>
            <w:tcW w:w="1087" w:type="dxa"/>
            <w:tcBorders>
              <w:bottom w:val="nil"/>
            </w:tcBorders>
          </w:tcPr>
          <w:p w14:paraId="76170413">
            <w:pPr>
              <w:jc w:val="center"/>
              <w:rPr>
                <w:snapToGrid w:val="0"/>
                <w:color w:val="000000"/>
                <w:kern w:val="0"/>
                <w:szCs w:val="21"/>
              </w:rPr>
            </w:pPr>
            <w:r>
              <w:rPr>
                <w:snapToGrid w:val="0"/>
                <w:color w:val="000000"/>
                <w:kern w:val="0"/>
                <w:szCs w:val="21"/>
              </w:rPr>
              <w:t>速效钾</w:t>
            </w:r>
          </w:p>
        </w:tc>
        <w:tc>
          <w:tcPr>
            <w:tcW w:w="1074" w:type="dxa"/>
            <w:tcBorders>
              <w:bottom w:val="nil"/>
            </w:tcBorders>
            <w:shd w:val="clear" w:color="auto" w:fill="auto"/>
          </w:tcPr>
          <w:p w14:paraId="6C0451E6">
            <w:pPr>
              <w:jc w:val="center"/>
              <w:rPr>
                <w:snapToGrid w:val="0"/>
                <w:color w:val="000000"/>
                <w:kern w:val="0"/>
                <w:szCs w:val="21"/>
              </w:rPr>
            </w:pPr>
            <w:r>
              <w:rPr>
                <w:snapToGrid w:val="0"/>
                <w:color w:val="000000"/>
                <w:kern w:val="0"/>
                <w:szCs w:val="21"/>
              </w:rPr>
              <w:t>微生物量碳</w:t>
            </w:r>
          </w:p>
        </w:tc>
        <w:tc>
          <w:tcPr>
            <w:tcW w:w="1134" w:type="dxa"/>
            <w:tcBorders>
              <w:bottom w:val="nil"/>
            </w:tcBorders>
            <w:shd w:val="clear" w:color="auto" w:fill="auto"/>
          </w:tcPr>
          <w:p w14:paraId="7CC6CE46">
            <w:pPr>
              <w:jc w:val="center"/>
              <w:rPr>
                <w:snapToGrid w:val="0"/>
                <w:color w:val="000000"/>
                <w:kern w:val="0"/>
                <w:szCs w:val="21"/>
              </w:rPr>
            </w:pPr>
            <w:r>
              <w:rPr>
                <w:snapToGrid w:val="0"/>
                <w:color w:val="000000"/>
                <w:kern w:val="0"/>
                <w:szCs w:val="21"/>
              </w:rPr>
              <w:t>微生物量氮</w:t>
            </w:r>
          </w:p>
        </w:tc>
        <w:tc>
          <w:tcPr>
            <w:tcW w:w="1601" w:type="dxa"/>
            <w:tcBorders>
              <w:bottom w:val="nil"/>
            </w:tcBorders>
          </w:tcPr>
          <w:p w14:paraId="71E45F05">
            <w:pPr>
              <w:jc w:val="center"/>
              <w:rPr>
                <w:snapToGrid w:val="0"/>
                <w:color w:val="000000"/>
                <w:kern w:val="0"/>
                <w:szCs w:val="21"/>
              </w:rPr>
            </w:pPr>
            <w:r>
              <w:rPr>
                <w:rFonts w:hint="eastAsia"/>
                <w:snapToGrid w:val="0"/>
                <w:color w:val="000000"/>
                <w:kern w:val="0"/>
                <w:szCs w:val="21"/>
              </w:rPr>
              <w:t>微生物</w:t>
            </w:r>
            <w:r>
              <w:rPr>
                <w:snapToGrid w:val="0"/>
                <w:color w:val="000000"/>
                <w:kern w:val="0"/>
                <w:szCs w:val="21"/>
              </w:rPr>
              <w:t>Shannon</w:t>
            </w:r>
            <w:r>
              <w:rPr>
                <w:rFonts w:hint="eastAsia"/>
                <w:snapToGrid w:val="0"/>
                <w:color w:val="000000"/>
                <w:kern w:val="0"/>
                <w:szCs w:val="21"/>
              </w:rPr>
              <w:t>指数</w:t>
            </w:r>
          </w:p>
        </w:tc>
      </w:tr>
      <w:tr w14:paraId="4A5814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153" w:type="dxa"/>
            <w:tcBorders>
              <w:top w:val="nil"/>
              <w:bottom w:val="single" w:color="auto" w:sz="4" w:space="0"/>
            </w:tcBorders>
            <w:shd w:val="clear" w:color="auto" w:fill="auto"/>
            <w:vAlign w:val="center"/>
          </w:tcPr>
          <w:p w14:paraId="5D889065">
            <w:pPr>
              <w:jc w:val="center"/>
              <w:rPr>
                <w:snapToGrid w:val="0"/>
                <w:color w:val="000000"/>
                <w:kern w:val="0"/>
                <w:szCs w:val="21"/>
              </w:rPr>
            </w:pPr>
          </w:p>
        </w:tc>
        <w:tc>
          <w:tcPr>
            <w:tcW w:w="941" w:type="dxa"/>
            <w:tcBorders>
              <w:top w:val="nil"/>
              <w:bottom w:val="single" w:color="auto" w:sz="4" w:space="0"/>
            </w:tcBorders>
            <w:shd w:val="clear" w:color="auto" w:fill="auto"/>
            <w:vAlign w:val="center"/>
          </w:tcPr>
          <w:p w14:paraId="5B185658">
            <w:pPr>
              <w:jc w:val="center"/>
              <w:rPr>
                <w:snapToGrid w:val="0"/>
                <w:color w:val="000000"/>
                <w:kern w:val="0"/>
                <w:szCs w:val="21"/>
              </w:rPr>
            </w:pPr>
            <w:r>
              <w:rPr>
                <w:snapToGrid w:val="0"/>
                <w:color w:val="000000"/>
                <w:kern w:val="0"/>
                <w:szCs w:val="21"/>
              </w:rPr>
              <w:t>g·kg</w:t>
            </w:r>
            <w:r>
              <w:rPr>
                <w:snapToGrid w:val="0"/>
                <w:color w:val="000000"/>
                <w:kern w:val="0"/>
                <w:szCs w:val="21"/>
                <w:vertAlign w:val="superscript"/>
              </w:rPr>
              <w:t>-1</w:t>
            </w:r>
          </w:p>
        </w:tc>
        <w:tc>
          <w:tcPr>
            <w:tcW w:w="826" w:type="dxa"/>
            <w:tcBorders>
              <w:top w:val="nil"/>
              <w:bottom w:val="single" w:color="auto" w:sz="4" w:space="0"/>
            </w:tcBorders>
            <w:shd w:val="clear" w:color="auto" w:fill="auto"/>
            <w:vAlign w:val="center"/>
          </w:tcPr>
          <w:p w14:paraId="4FB55E23">
            <w:pPr>
              <w:jc w:val="center"/>
              <w:rPr>
                <w:snapToGrid w:val="0"/>
                <w:color w:val="000000"/>
                <w:kern w:val="0"/>
                <w:szCs w:val="21"/>
              </w:rPr>
            </w:pPr>
            <w:r>
              <w:rPr>
                <w:snapToGrid w:val="0"/>
                <w:color w:val="000000"/>
                <w:kern w:val="0"/>
                <w:szCs w:val="21"/>
              </w:rPr>
              <w:t>g·kg</w:t>
            </w:r>
            <w:r>
              <w:rPr>
                <w:snapToGrid w:val="0"/>
                <w:color w:val="000000"/>
                <w:kern w:val="0"/>
                <w:szCs w:val="21"/>
                <w:vertAlign w:val="superscript"/>
              </w:rPr>
              <w:t>-1</w:t>
            </w:r>
          </w:p>
        </w:tc>
        <w:tc>
          <w:tcPr>
            <w:tcW w:w="973" w:type="dxa"/>
            <w:tcBorders>
              <w:top w:val="nil"/>
              <w:bottom w:val="single" w:color="auto" w:sz="4" w:space="0"/>
            </w:tcBorders>
          </w:tcPr>
          <w:p w14:paraId="7BE93B54">
            <w:pPr>
              <w:jc w:val="center"/>
              <w:rPr>
                <w:snapToGrid w:val="0"/>
                <w:color w:val="000000"/>
                <w:kern w:val="0"/>
                <w:szCs w:val="21"/>
              </w:rPr>
            </w:pPr>
          </w:p>
        </w:tc>
        <w:tc>
          <w:tcPr>
            <w:tcW w:w="973" w:type="dxa"/>
            <w:tcBorders>
              <w:top w:val="nil"/>
              <w:bottom w:val="single" w:color="auto" w:sz="4" w:space="0"/>
            </w:tcBorders>
            <w:vAlign w:val="center"/>
          </w:tcPr>
          <w:p w14:paraId="3D9604D2">
            <w:pPr>
              <w:jc w:val="center"/>
              <w:rPr>
                <w:snapToGrid w:val="0"/>
                <w:color w:val="000000"/>
                <w:kern w:val="0"/>
                <w:szCs w:val="21"/>
              </w:rPr>
            </w:pPr>
            <w:r>
              <w:rPr>
                <w:snapToGrid w:val="0"/>
                <w:color w:val="000000"/>
                <w:kern w:val="0"/>
                <w:szCs w:val="21"/>
              </w:rPr>
              <w:t>mg·kg</w:t>
            </w:r>
            <w:r>
              <w:rPr>
                <w:snapToGrid w:val="0"/>
                <w:color w:val="000000"/>
                <w:kern w:val="0"/>
                <w:szCs w:val="21"/>
                <w:vertAlign w:val="superscript"/>
              </w:rPr>
              <w:t>-1</w:t>
            </w:r>
          </w:p>
        </w:tc>
        <w:tc>
          <w:tcPr>
            <w:tcW w:w="1087" w:type="dxa"/>
            <w:tcBorders>
              <w:top w:val="nil"/>
              <w:bottom w:val="single" w:color="auto" w:sz="4" w:space="0"/>
            </w:tcBorders>
            <w:vAlign w:val="center"/>
          </w:tcPr>
          <w:p w14:paraId="3F43B725">
            <w:pPr>
              <w:jc w:val="center"/>
              <w:rPr>
                <w:snapToGrid w:val="0"/>
                <w:color w:val="000000"/>
                <w:kern w:val="0"/>
                <w:szCs w:val="21"/>
              </w:rPr>
            </w:pPr>
            <w:r>
              <w:rPr>
                <w:snapToGrid w:val="0"/>
                <w:color w:val="000000"/>
                <w:kern w:val="0"/>
                <w:szCs w:val="21"/>
              </w:rPr>
              <w:t>mg·kg</w:t>
            </w:r>
            <w:r>
              <w:rPr>
                <w:snapToGrid w:val="0"/>
                <w:color w:val="000000"/>
                <w:kern w:val="0"/>
                <w:szCs w:val="21"/>
                <w:vertAlign w:val="superscript"/>
              </w:rPr>
              <w:t>-1</w:t>
            </w:r>
          </w:p>
        </w:tc>
        <w:tc>
          <w:tcPr>
            <w:tcW w:w="1074" w:type="dxa"/>
            <w:tcBorders>
              <w:top w:val="nil"/>
              <w:bottom w:val="single" w:color="auto" w:sz="4" w:space="0"/>
            </w:tcBorders>
            <w:shd w:val="clear" w:color="auto" w:fill="auto"/>
            <w:vAlign w:val="center"/>
          </w:tcPr>
          <w:p w14:paraId="23D5CB87">
            <w:pPr>
              <w:jc w:val="center"/>
              <w:rPr>
                <w:snapToGrid w:val="0"/>
                <w:color w:val="000000"/>
                <w:kern w:val="0"/>
                <w:szCs w:val="21"/>
              </w:rPr>
            </w:pPr>
            <w:r>
              <w:rPr>
                <w:snapToGrid w:val="0"/>
                <w:color w:val="000000"/>
                <w:kern w:val="0"/>
                <w:szCs w:val="21"/>
              </w:rPr>
              <w:t>mg·kg</w:t>
            </w:r>
            <w:r>
              <w:rPr>
                <w:snapToGrid w:val="0"/>
                <w:color w:val="000000"/>
                <w:kern w:val="0"/>
                <w:szCs w:val="21"/>
                <w:vertAlign w:val="superscript"/>
              </w:rPr>
              <w:t>-1</w:t>
            </w:r>
          </w:p>
        </w:tc>
        <w:tc>
          <w:tcPr>
            <w:tcW w:w="1134" w:type="dxa"/>
            <w:tcBorders>
              <w:top w:val="nil"/>
              <w:bottom w:val="single" w:color="auto" w:sz="4" w:space="0"/>
            </w:tcBorders>
            <w:shd w:val="clear" w:color="auto" w:fill="auto"/>
            <w:vAlign w:val="center"/>
          </w:tcPr>
          <w:p w14:paraId="5BEDBFA6">
            <w:pPr>
              <w:jc w:val="center"/>
              <w:rPr>
                <w:snapToGrid w:val="0"/>
                <w:color w:val="000000"/>
                <w:kern w:val="0"/>
                <w:szCs w:val="21"/>
              </w:rPr>
            </w:pPr>
            <w:r>
              <w:rPr>
                <w:snapToGrid w:val="0"/>
                <w:color w:val="000000"/>
                <w:kern w:val="0"/>
                <w:szCs w:val="21"/>
              </w:rPr>
              <w:t>mg·kg</w:t>
            </w:r>
            <w:r>
              <w:rPr>
                <w:snapToGrid w:val="0"/>
                <w:color w:val="000000"/>
                <w:kern w:val="0"/>
                <w:szCs w:val="21"/>
                <w:vertAlign w:val="superscript"/>
              </w:rPr>
              <w:t>-1</w:t>
            </w:r>
          </w:p>
        </w:tc>
        <w:tc>
          <w:tcPr>
            <w:tcW w:w="1601" w:type="dxa"/>
            <w:tcBorders>
              <w:top w:val="nil"/>
              <w:bottom w:val="single" w:color="auto" w:sz="4" w:space="0"/>
            </w:tcBorders>
          </w:tcPr>
          <w:p w14:paraId="4ADE39B1">
            <w:pPr>
              <w:rPr>
                <w:snapToGrid w:val="0"/>
                <w:color w:val="000000"/>
                <w:kern w:val="0"/>
                <w:szCs w:val="21"/>
              </w:rPr>
            </w:pPr>
          </w:p>
        </w:tc>
      </w:tr>
      <w:tr w14:paraId="2367BE9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53" w:type="dxa"/>
            <w:tcBorders>
              <w:top w:val="single" w:color="auto" w:sz="4" w:space="0"/>
            </w:tcBorders>
            <w:shd w:val="clear" w:color="auto" w:fill="auto"/>
            <w:vAlign w:val="center"/>
          </w:tcPr>
          <w:p w14:paraId="30245845">
            <w:pPr>
              <w:jc w:val="center"/>
              <w:rPr>
                <w:snapToGrid w:val="0"/>
                <w:color w:val="000000"/>
                <w:kern w:val="0"/>
                <w:szCs w:val="21"/>
              </w:rPr>
            </w:pPr>
            <w:r>
              <w:rPr>
                <w:snapToGrid w:val="0"/>
                <w:color w:val="000000"/>
                <w:kern w:val="0"/>
                <w:szCs w:val="21"/>
              </w:rPr>
              <w:t>常规处理</w:t>
            </w:r>
          </w:p>
        </w:tc>
        <w:tc>
          <w:tcPr>
            <w:tcW w:w="941" w:type="dxa"/>
            <w:tcBorders>
              <w:top w:val="single" w:color="auto" w:sz="4" w:space="0"/>
            </w:tcBorders>
            <w:shd w:val="clear" w:color="auto" w:fill="auto"/>
            <w:vAlign w:val="center"/>
          </w:tcPr>
          <w:p w14:paraId="7D5B1293">
            <w:pPr>
              <w:jc w:val="center"/>
              <w:rPr>
                <w:snapToGrid w:val="0"/>
                <w:color w:val="000000"/>
                <w:kern w:val="0"/>
                <w:szCs w:val="21"/>
              </w:rPr>
            </w:pPr>
            <w:r>
              <w:rPr>
                <w:rFonts w:hint="eastAsia"/>
                <w:snapToGrid w:val="0"/>
                <w:color w:val="000000"/>
                <w:kern w:val="0"/>
                <w:szCs w:val="21"/>
              </w:rPr>
              <w:t>21.6</w:t>
            </w:r>
            <w:r>
              <w:rPr>
                <w:snapToGrid w:val="0"/>
                <w:color w:val="000000"/>
                <w:kern w:val="0"/>
                <w:szCs w:val="21"/>
              </w:rPr>
              <w:t xml:space="preserve"> b</w:t>
            </w:r>
          </w:p>
        </w:tc>
        <w:tc>
          <w:tcPr>
            <w:tcW w:w="826" w:type="dxa"/>
            <w:tcBorders>
              <w:top w:val="single" w:color="auto" w:sz="4" w:space="0"/>
            </w:tcBorders>
            <w:shd w:val="clear" w:color="auto" w:fill="auto"/>
            <w:vAlign w:val="center"/>
          </w:tcPr>
          <w:p w14:paraId="29E4847E">
            <w:pPr>
              <w:jc w:val="center"/>
              <w:rPr>
                <w:snapToGrid w:val="0"/>
                <w:color w:val="000000"/>
                <w:kern w:val="0"/>
                <w:szCs w:val="21"/>
              </w:rPr>
            </w:pPr>
            <w:r>
              <w:rPr>
                <w:rFonts w:hint="eastAsia"/>
                <w:snapToGrid w:val="0"/>
                <w:color w:val="000000"/>
                <w:kern w:val="0"/>
                <w:szCs w:val="21"/>
              </w:rPr>
              <w:t>2.3</w:t>
            </w:r>
            <w:r>
              <w:rPr>
                <w:snapToGrid w:val="0"/>
                <w:color w:val="000000"/>
                <w:kern w:val="0"/>
                <w:szCs w:val="21"/>
              </w:rPr>
              <w:t xml:space="preserve"> a</w:t>
            </w:r>
          </w:p>
        </w:tc>
        <w:tc>
          <w:tcPr>
            <w:tcW w:w="973" w:type="dxa"/>
            <w:tcBorders>
              <w:top w:val="single" w:color="auto" w:sz="4" w:space="0"/>
            </w:tcBorders>
          </w:tcPr>
          <w:p w14:paraId="3EBBAF9D">
            <w:pPr>
              <w:jc w:val="center"/>
              <w:rPr>
                <w:snapToGrid w:val="0"/>
                <w:color w:val="000000"/>
                <w:kern w:val="0"/>
                <w:szCs w:val="21"/>
              </w:rPr>
            </w:pPr>
            <w:r>
              <w:rPr>
                <w:rFonts w:hint="eastAsia"/>
                <w:snapToGrid w:val="0"/>
                <w:color w:val="000000"/>
                <w:kern w:val="0"/>
                <w:szCs w:val="21"/>
              </w:rPr>
              <w:t>6.01a</w:t>
            </w:r>
          </w:p>
        </w:tc>
        <w:tc>
          <w:tcPr>
            <w:tcW w:w="973" w:type="dxa"/>
            <w:tcBorders>
              <w:top w:val="single" w:color="auto" w:sz="4" w:space="0"/>
            </w:tcBorders>
            <w:vAlign w:val="center"/>
          </w:tcPr>
          <w:p w14:paraId="414CEBB5">
            <w:pPr>
              <w:jc w:val="center"/>
              <w:rPr>
                <w:snapToGrid w:val="0"/>
                <w:color w:val="000000"/>
                <w:kern w:val="0"/>
                <w:szCs w:val="21"/>
              </w:rPr>
            </w:pPr>
            <w:r>
              <w:rPr>
                <w:rFonts w:hint="eastAsia"/>
                <w:snapToGrid w:val="0"/>
                <w:color w:val="000000"/>
                <w:kern w:val="0"/>
                <w:szCs w:val="21"/>
              </w:rPr>
              <w:t>15.4</w:t>
            </w:r>
            <w:r>
              <w:rPr>
                <w:snapToGrid w:val="0"/>
                <w:color w:val="000000"/>
                <w:kern w:val="0"/>
                <w:szCs w:val="21"/>
              </w:rPr>
              <w:t xml:space="preserve"> b</w:t>
            </w:r>
          </w:p>
        </w:tc>
        <w:tc>
          <w:tcPr>
            <w:tcW w:w="1087" w:type="dxa"/>
            <w:tcBorders>
              <w:top w:val="single" w:color="auto" w:sz="4" w:space="0"/>
            </w:tcBorders>
            <w:vAlign w:val="center"/>
          </w:tcPr>
          <w:p w14:paraId="3EFB5825">
            <w:pPr>
              <w:jc w:val="center"/>
              <w:rPr>
                <w:snapToGrid w:val="0"/>
                <w:color w:val="000000"/>
                <w:kern w:val="0"/>
                <w:szCs w:val="21"/>
              </w:rPr>
            </w:pPr>
            <w:r>
              <w:rPr>
                <w:snapToGrid w:val="0"/>
                <w:color w:val="000000"/>
                <w:kern w:val="0"/>
                <w:szCs w:val="21"/>
              </w:rPr>
              <w:t>10</w:t>
            </w:r>
            <w:r>
              <w:rPr>
                <w:rFonts w:hint="eastAsia"/>
                <w:snapToGrid w:val="0"/>
                <w:color w:val="000000"/>
                <w:kern w:val="0"/>
                <w:szCs w:val="21"/>
              </w:rPr>
              <w:t>8.8 b</w:t>
            </w:r>
          </w:p>
        </w:tc>
        <w:tc>
          <w:tcPr>
            <w:tcW w:w="1074" w:type="dxa"/>
            <w:tcBorders>
              <w:top w:val="single" w:color="auto" w:sz="4" w:space="0"/>
            </w:tcBorders>
            <w:shd w:val="clear" w:color="auto" w:fill="auto"/>
            <w:vAlign w:val="center"/>
          </w:tcPr>
          <w:p w14:paraId="4B7151AB">
            <w:pPr>
              <w:jc w:val="center"/>
              <w:rPr>
                <w:b/>
                <w:bCs/>
                <w:snapToGrid w:val="0"/>
                <w:color w:val="000000"/>
                <w:kern w:val="0"/>
                <w:szCs w:val="21"/>
              </w:rPr>
            </w:pPr>
            <w:r>
              <w:rPr>
                <w:rFonts w:hint="eastAsia"/>
                <w:snapToGrid w:val="0"/>
                <w:color w:val="000000"/>
                <w:kern w:val="0"/>
                <w:szCs w:val="21"/>
              </w:rPr>
              <w:t>521</w:t>
            </w:r>
            <w:r>
              <w:rPr>
                <w:snapToGrid w:val="0"/>
                <w:color w:val="000000"/>
                <w:kern w:val="0"/>
                <w:szCs w:val="21"/>
              </w:rPr>
              <w:t>.</w:t>
            </w:r>
            <w:r>
              <w:rPr>
                <w:rFonts w:hint="eastAsia"/>
                <w:snapToGrid w:val="0"/>
                <w:color w:val="000000"/>
                <w:kern w:val="0"/>
                <w:szCs w:val="21"/>
              </w:rPr>
              <w:t>1a</w:t>
            </w:r>
          </w:p>
        </w:tc>
        <w:tc>
          <w:tcPr>
            <w:tcW w:w="1134" w:type="dxa"/>
            <w:tcBorders>
              <w:top w:val="single" w:color="auto" w:sz="4" w:space="0"/>
            </w:tcBorders>
            <w:shd w:val="clear" w:color="auto" w:fill="auto"/>
            <w:vAlign w:val="center"/>
          </w:tcPr>
          <w:p w14:paraId="5556D8DF">
            <w:pPr>
              <w:jc w:val="center"/>
              <w:rPr>
                <w:b/>
                <w:bCs/>
                <w:snapToGrid w:val="0"/>
                <w:color w:val="000000"/>
                <w:kern w:val="0"/>
                <w:szCs w:val="21"/>
              </w:rPr>
            </w:pPr>
            <w:r>
              <w:rPr>
                <w:rFonts w:hint="eastAsia"/>
                <w:snapToGrid w:val="0"/>
                <w:color w:val="000000"/>
                <w:kern w:val="0"/>
                <w:szCs w:val="21"/>
              </w:rPr>
              <w:t>72.3</w:t>
            </w:r>
            <w:r>
              <w:rPr>
                <w:snapToGrid w:val="0"/>
                <w:color w:val="000000"/>
                <w:kern w:val="0"/>
                <w:szCs w:val="21"/>
              </w:rPr>
              <w:t xml:space="preserve"> </w:t>
            </w:r>
            <w:r>
              <w:rPr>
                <w:rFonts w:hint="eastAsia"/>
                <w:snapToGrid w:val="0"/>
                <w:color w:val="000000"/>
                <w:kern w:val="0"/>
                <w:szCs w:val="21"/>
              </w:rPr>
              <w:t>a</w:t>
            </w:r>
          </w:p>
        </w:tc>
        <w:tc>
          <w:tcPr>
            <w:tcW w:w="1601" w:type="dxa"/>
            <w:tcBorders>
              <w:top w:val="single" w:color="auto" w:sz="4" w:space="0"/>
            </w:tcBorders>
          </w:tcPr>
          <w:p w14:paraId="7FCAD559">
            <w:pPr>
              <w:jc w:val="center"/>
              <w:rPr>
                <w:b/>
                <w:bCs/>
                <w:snapToGrid w:val="0"/>
                <w:color w:val="000000"/>
                <w:kern w:val="0"/>
                <w:szCs w:val="21"/>
              </w:rPr>
            </w:pPr>
            <w:r>
              <w:rPr>
                <w:rFonts w:hint="eastAsia"/>
                <w:snapToGrid w:val="0"/>
                <w:color w:val="000000"/>
                <w:kern w:val="0"/>
                <w:szCs w:val="21"/>
              </w:rPr>
              <w:t>6.5 a</w:t>
            </w:r>
          </w:p>
        </w:tc>
      </w:tr>
      <w:tr w14:paraId="4673181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53" w:type="dxa"/>
            <w:shd w:val="clear" w:color="auto" w:fill="auto"/>
            <w:vAlign w:val="center"/>
          </w:tcPr>
          <w:p w14:paraId="5E07085C">
            <w:pPr>
              <w:jc w:val="center"/>
              <w:rPr>
                <w:snapToGrid w:val="0"/>
                <w:color w:val="000000"/>
                <w:kern w:val="0"/>
                <w:szCs w:val="21"/>
              </w:rPr>
            </w:pPr>
            <w:r>
              <w:rPr>
                <w:snapToGrid w:val="0"/>
                <w:color w:val="000000"/>
                <w:kern w:val="0"/>
                <w:szCs w:val="21"/>
              </w:rPr>
              <w:t>土壤保育</w:t>
            </w:r>
          </w:p>
        </w:tc>
        <w:tc>
          <w:tcPr>
            <w:tcW w:w="941" w:type="dxa"/>
            <w:shd w:val="clear" w:color="auto" w:fill="auto"/>
            <w:vAlign w:val="center"/>
          </w:tcPr>
          <w:p w14:paraId="4ED88E08">
            <w:pPr>
              <w:jc w:val="center"/>
              <w:rPr>
                <w:snapToGrid w:val="0"/>
                <w:color w:val="000000"/>
                <w:kern w:val="0"/>
                <w:szCs w:val="21"/>
              </w:rPr>
            </w:pPr>
            <w:r>
              <w:rPr>
                <w:rFonts w:hint="eastAsia"/>
                <w:snapToGrid w:val="0"/>
                <w:color w:val="000000"/>
                <w:kern w:val="0"/>
                <w:szCs w:val="21"/>
              </w:rPr>
              <w:t>23.8</w:t>
            </w:r>
            <w:r>
              <w:rPr>
                <w:snapToGrid w:val="0"/>
                <w:color w:val="000000"/>
                <w:kern w:val="0"/>
                <w:szCs w:val="21"/>
              </w:rPr>
              <w:t xml:space="preserve"> a</w:t>
            </w:r>
          </w:p>
        </w:tc>
        <w:tc>
          <w:tcPr>
            <w:tcW w:w="826" w:type="dxa"/>
            <w:shd w:val="clear" w:color="auto" w:fill="auto"/>
            <w:vAlign w:val="center"/>
          </w:tcPr>
          <w:p w14:paraId="64CDB63A">
            <w:pPr>
              <w:jc w:val="center"/>
              <w:rPr>
                <w:snapToGrid w:val="0"/>
                <w:color w:val="000000"/>
                <w:kern w:val="0"/>
                <w:szCs w:val="21"/>
              </w:rPr>
            </w:pPr>
            <w:r>
              <w:rPr>
                <w:rFonts w:hint="eastAsia"/>
                <w:snapToGrid w:val="0"/>
                <w:color w:val="000000"/>
                <w:kern w:val="0"/>
                <w:szCs w:val="21"/>
              </w:rPr>
              <w:t>2.47</w:t>
            </w:r>
            <w:r>
              <w:rPr>
                <w:snapToGrid w:val="0"/>
                <w:color w:val="000000"/>
                <w:kern w:val="0"/>
                <w:szCs w:val="21"/>
              </w:rPr>
              <w:t xml:space="preserve"> a</w:t>
            </w:r>
          </w:p>
        </w:tc>
        <w:tc>
          <w:tcPr>
            <w:tcW w:w="973" w:type="dxa"/>
          </w:tcPr>
          <w:p w14:paraId="42D4A96F">
            <w:pPr>
              <w:jc w:val="center"/>
              <w:rPr>
                <w:snapToGrid w:val="0"/>
                <w:color w:val="000000"/>
                <w:kern w:val="0"/>
                <w:szCs w:val="21"/>
              </w:rPr>
            </w:pPr>
            <w:r>
              <w:rPr>
                <w:rFonts w:hint="eastAsia"/>
                <w:snapToGrid w:val="0"/>
                <w:color w:val="000000"/>
                <w:kern w:val="0"/>
                <w:szCs w:val="21"/>
              </w:rPr>
              <w:t>6.07a</w:t>
            </w:r>
          </w:p>
        </w:tc>
        <w:tc>
          <w:tcPr>
            <w:tcW w:w="973" w:type="dxa"/>
            <w:vAlign w:val="center"/>
          </w:tcPr>
          <w:p w14:paraId="7374E369">
            <w:pPr>
              <w:jc w:val="center"/>
              <w:rPr>
                <w:snapToGrid w:val="0"/>
                <w:color w:val="000000"/>
                <w:kern w:val="0"/>
                <w:szCs w:val="21"/>
              </w:rPr>
            </w:pPr>
            <w:r>
              <w:rPr>
                <w:rFonts w:hint="eastAsia"/>
                <w:snapToGrid w:val="0"/>
                <w:color w:val="000000"/>
                <w:kern w:val="0"/>
                <w:szCs w:val="21"/>
              </w:rPr>
              <w:t>22.5</w:t>
            </w:r>
            <w:r>
              <w:rPr>
                <w:snapToGrid w:val="0"/>
                <w:color w:val="000000"/>
                <w:kern w:val="0"/>
                <w:szCs w:val="21"/>
              </w:rPr>
              <w:t xml:space="preserve"> a</w:t>
            </w:r>
          </w:p>
        </w:tc>
        <w:tc>
          <w:tcPr>
            <w:tcW w:w="1087" w:type="dxa"/>
            <w:vAlign w:val="center"/>
          </w:tcPr>
          <w:p w14:paraId="6645160C">
            <w:pPr>
              <w:jc w:val="center"/>
              <w:rPr>
                <w:snapToGrid w:val="0"/>
                <w:color w:val="000000"/>
                <w:kern w:val="0"/>
                <w:szCs w:val="21"/>
              </w:rPr>
            </w:pPr>
            <w:r>
              <w:rPr>
                <w:rFonts w:hint="eastAsia"/>
                <w:snapToGrid w:val="0"/>
                <w:color w:val="000000"/>
                <w:kern w:val="0"/>
                <w:szCs w:val="21"/>
              </w:rPr>
              <w:t>162.2</w:t>
            </w:r>
            <w:r>
              <w:rPr>
                <w:snapToGrid w:val="0"/>
                <w:color w:val="000000"/>
                <w:kern w:val="0"/>
                <w:szCs w:val="21"/>
              </w:rPr>
              <w:t xml:space="preserve"> a</w:t>
            </w:r>
          </w:p>
        </w:tc>
        <w:tc>
          <w:tcPr>
            <w:tcW w:w="1074" w:type="dxa"/>
            <w:shd w:val="clear" w:color="auto" w:fill="auto"/>
            <w:vAlign w:val="center"/>
          </w:tcPr>
          <w:p w14:paraId="036BC193">
            <w:pPr>
              <w:jc w:val="center"/>
              <w:rPr>
                <w:b/>
                <w:bCs/>
                <w:snapToGrid w:val="0"/>
                <w:color w:val="000000"/>
                <w:kern w:val="0"/>
                <w:szCs w:val="21"/>
              </w:rPr>
            </w:pPr>
            <w:r>
              <w:rPr>
                <w:rFonts w:hint="eastAsia"/>
                <w:snapToGrid w:val="0"/>
                <w:color w:val="000000"/>
                <w:kern w:val="0"/>
                <w:szCs w:val="21"/>
              </w:rPr>
              <w:t>559.1</w:t>
            </w:r>
            <w:r>
              <w:rPr>
                <w:snapToGrid w:val="0"/>
                <w:color w:val="000000"/>
                <w:kern w:val="0"/>
                <w:szCs w:val="21"/>
              </w:rPr>
              <w:t>a</w:t>
            </w:r>
          </w:p>
        </w:tc>
        <w:tc>
          <w:tcPr>
            <w:tcW w:w="1134" w:type="dxa"/>
            <w:shd w:val="clear" w:color="auto" w:fill="auto"/>
            <w:vAlign w:val="center"/>
          </w:tcPr>
          <w:p w14:paraId="57EDD781">
            <w:pPr>
              <w:jc w:val="center"/>
              <w:rPr>
                <w:b/>
                <w:bCs/>
                <w:snapToGrid w:val="0"/>
                <w:color w:val="000000"/>
                <w:kern w:val="0"/>
                <w:szCs w:val="21"/>
              </w:rPr>
            </w:pPr>
            <w:r>
              <w:rPr>
                <w:rFonts w:hint="eastAsia"/>
                <w:snapToGrid w:val="0"/>
                <w:color w:val="000000"/>
                <w:kern w:val="0"/>
                <w:szCs w:val="21"/>
              </w:rPr>
              <w:t>80.2</w:t>
            </w:r>
            <w:r>
              <w:rPr>
                <w:snapToGrid w:val="0"/>
                <w:color w:val="000000"/>
                <w:kern w:val="0"/>
                <w:szCs w:val="21"/>
              </w:rPr>
              <w:t xml:space="preserve"> a</w:t>
            </w:r>
          </w:p>
        </w:tc>
        <w:tc>
          <w:tcPr>
            <w:tcW w:w="1601" w:type="dxa"/>
          </w:tcPr>
          <w:p w14:paraId="5A71450E">
            <w:pPr>
              <w:jc w:val="center"/>
              <w:rPr>
                <w:b/>
                <w:bCs/>
                <w:snapToGrid w:val="0"/>
                <w:color w:val="000000"/>
                <w:kern w:val="0"/>
                <w:szCs w:val="21"/>
              </w:rPr>
            </w:pPr>
            <w:r>
              <w:rPr>
                <w:rFonts w:hint="eastAsia"/>
                <w:snapToGrid w:val="0"/>
                <w:color w:val="000000"/>
                <w:kern w:val="0"/>
                <w:szCs w:val="21"/>
              </w:rPr>
              <w:t>6.6 a</w:t>
            </w:r>
          </w:p>
        </w:tc>
      </w:tr>
    </w:tbl>
    <w:p w14:paraId="486FA9FB">
      <w:pPr>
        <w:spacing w:line="360" w:lineRule="auto"/>
        <w:rPr>
          <w:b/>
          <w:bCs/>
          <w:snapToGrid w:val="0"/>
          <w:color w:val="000000"/>
          <w:kern w:val="0"/>
          <w:sz w:val="24"/>
          <w:szCs w:val="24"/>
          <w:lang w:val="en-GB"/>
        </w:rPr>
      </w:pPr>
    </w:p>
    <w:p w14:paraId="7ED8DF8A">
      <w:pPr>
        <w:ind w:firstLine="482"/>
        <w:outlineLvl w:val="1"/>
        <w:rPr>
          <w:rFonts w:ascii="楷体" w:hAnsi="楷体" w:eastAsia="楷体" w:cs="楷体_GB2312"/>
          <w:b/>
          <w:bCs/>
          <w:color w:val="000000"/>
          <w:sz w:val="24"/>
          <w:szCs w:val="24"/>
        </w:rPr>
      </w:pPr>
      <w:bookmarkStart w:id="19" w:name="_Toc183101839"/>
      <w:bookmarkStart w:id="20" w:name="_Toc183101605"/>
      <w:r>
        <w:rPr>
          <w:rFonts w:ascii="楷体" w:hAnsi="楷体" w:eastAsia="楷体" w:cs="楷体_GB2312"/>
          <w:b/>
          <w:bCs/>
          <w:color w:val="000000"/>
          <w:sz w:val="24"/>
          <w:szCs w:val="24"/>
        </w:rPr>
        <w:t>（</w:t>
      </w:r>
      <w:r>
        <w:rPr>
          <w:rFonts w:hint="eastAsia" w:ascii="楷体" w:hAnsi="楷体" w:eastAsia="楷体" w:cs="楷体_GB2312"/>
          <w:b/>
          <w:bCs/>
          <w:color w:val="000000"/>
          <w:sz w:val="24"/>
          <w:szCs w:val="24"/>
        </w:rPr>
        <w:t>二</w:t>
      </w:r>
      <w:r>
        <w:rPr>
          <w:rFonts w:ascii="楷体" w:hAnsi="楷体" w:eastAsia="楷体" w:cs="楷体_GB2312"/>
          <w:b/>
          <w:bCs/>
          <w:color w:val="000000"/>
          <w:sz w:val="24"/>
          <w:szCs w:val="24"/>
        </w:rPr>
        <w:t>）</w:t>
      </w:r>
      <w:r>
        <w:rPr>
          <w:rFonts w:hint="eastAsia" w:ascii="楷体" w:hAnsi="楷体" w:eastAsia="楷体" w:cs="楷体_GB2312"/>
          <w:b/>
          <w:bCs/>
          <w:color w:val="000000"/>
          <w:sz w:val="24"/>
          <w:szCs w:val="24"/>
        </w:rPr>
        <w:t>技术经济论证、预期的经济效益和社会效益及生态效益</w:t>
      </w:r>
      <w:bookmarkEnd w:id="19"/>
      <w:bookmarkEnd w:id="20"/>
    </w:p>
    <w:p w14:paraId="6104BDC6">
      <w:pPr>
        <w:spacing w:line="360" w:lineRule="auto"/>
        <w:ind w:firstLine="480" w:firstLineChars="200"/>
        <w:rPr>
          <w:snapToGrid w:val="0"/>
          <w:color w:val="000000"/>
          <w:kern w:val="0"/>
          <w:sz w:val="24"/>
          <w:szCs w:val="24"/>
        </w:rPr>
      </w:pPr>
      <w:r>
        <w:rPr>
          <w:snapToGrid w:val="0"/>
          <w:color w:val="000000"/>
          <w:kern w:val="0"/>
          <w:sz w:val="24"/>
          <w:szCs w:val="24"/>
        </w:rPr>
        <w:t>本文件主要为双季稻轮作种植过程中碳氮排放风险期界定、农田基础设施要求、秸秆还田要求、整地要求、施肥要求、水分管理要求及其它土壤保育措施要求技术规范内容。根据本标准阐述的技术原理和规定的技术要求，可以通过为水稻生产过程中稻田的碳氮减排和土壤保育提供实用性和可操作性的技术方法和技术支撑。</w:t>
      </w:r>
    </w:p>
    <w:p w14:paraId="0DF12C86">
      <w:pPr>
        <w:spacing w:line="360" w:lineRule="auto"/>
        <w:ind w:firstLine="480" w:firstLineChars="200"/>
        <w:rPr>
          <w:snapToGrid w:val="0"/>
          <w:color w:val="000000"/>
          <w:kern w:val="0"/>
          <w:sz w:val="24"/>
          <w:szCs w:val="24"/>
        </w:rPr>
      </w:pPr>
      <w:r>
        <w:rPr>
          <w:snapToGrid w:val="0"/>
          <w:color w:val="000000"/>
          <w:kern w:val="0"/>
          <w:sz w:val="24"/>
          <w:szCs w:val="24"/>
        </w:rPr>
        <w:t>本标准将为利用稻田综合优化技术控制CH</w:t>
      </w:r>
      <w:r>
        <w:rPr>
          <w:snapToGrid w:val="0"/>
          <w:color w:val="000000"/>
          <w:kern w:val="0"/>
          <w:sz w:val="24"/>
          <w:szCs w:val="24"/>
          <w:vertAlign w:val="subscript"/>
        </w:rPr>
        <w:t>4</w:t>
      </w:r>
      <w:r>
        <w:rPr>
          <w:snapToGrid w:val="0"/>
          <w:color w:val="000000"/>
          <w:kern w:val="0"/>
          <w:sz w:val="24"/>
          <w:szCs w:val="24"/>
        </w:rPr>
        <w:t>排放、氮素径流和土壤保育提供技术依据。保证氮肥不易流失，CH</w:t>
      </w:r>
      <w:r>
        <w:rPr>
          <w:snapToGrid w:val="0"/>
          <w:color w:val="000000"/>
          <w:kern w:val="0"/>
          <w:sz w:val="24"/>
          <w:szCs w:val="24"/>
          <w:vertAlign w:val="subscript"/>
        </w:rPr>
        <w:t>4</w:t>
      </w:r>
      <w:r>
        <w:rPr>
          <w:snapToGrid w:val="0"/>
          <w:color w:val="000000"/>
          <w:kern w:val="0"/>
          <w:sz w:val="24"/>
          <w:szCs w:val="24"/>
        </w:rPr>
        <w:t>不易排放，不但为种植户省下了资金，从长远的角度看，还对耕地的可持续性和周围水体及大气有很大的保护。本标准优化了双季稻轮作农艺管理措施，减少生产投入，提高农田质量，为农田生态环境改善提供技术支撑。</w:t>
      </w:r>
    </w:p>
    <w:p w14:paraId="7845D11D">
      <w:pPr>
        <w:pStyle w:val="7"/>
        <w:spacing w:line="360" w:lineRule="auto"/>
        <w:ind w:firstLine="480"/>
        <w:rPr>
          <w:rFonts w:ascii="Times New Roman"/>
          <w:snapToGrid w:val="0"/>
          <w:color w:val="000000"/>
          <w:kern w:val="0"/>
          <w:sz w:val="24"/>
        </w:rPr>
      </w:pPr>
      <w:r>
        <w:rPr>
          <w:rFonts w:ascii="Times New Roman"/>
          <w:snapToGrid w:val="0"/>
          <w:color w:val="000000"/>
          <w:kern w:val="0"/>
          <w:sz w:val="24"/>
        </w:rPr>
        <w:t>本标准中技术的实施，不仅可以减少水肥投入，大幅度降低稻田碳氮向外界大气及水体的排放，同时还可以减少劳动力投入，降低水稻生产成本和环境治理成本。且可以增加水稻产量和经济效益。</w:t>
      </w:r>
    </w:p>
    <w:p w14:paraId="29744DD5">
      <w:pPr>
        <w:pStyle w:val="7"/>
        <w:spacing w:line="360" w:lineRule="auto"/>
        <w:ind w:firstLine="480"/>
        <w:rPr>
          <w:rFonts w:ascii="Times New Roman"/>
          <w:snapToGrid w:val="0"/>
          <w:color w:val="000000"/>
          <w:kern w:val="0"/>
          <w:sz w:val="24"/>
        </w:rPr>
      </w:pPr>
      <w:r>
        <w:rPr>
          <w:rFonts w:ascii="Times New Roman"/>
          <w:snapToGrid w:val="0"/>
          <w:color w:val="000000"/>
          <w:kern w:val="0"/>
          <w:sz w:val="24"/>
        </w:rPr>
        <w:t>标准的制定与实施，可以培肥土壤、减少化肥投入、减少稻田氮流向环境水体，减少CH</w:t>
      </w:r>
      <w:r>
        <w:rPr>
          <w:rFonts w:ascii="Times New Roman"/>
          <w:snapToGrid w:val="0"/>
          <w:color w:val="000000"/>
          <w:kern w:val="0"/>
          <w:sz w:val="24"/>
          <w:vertAlign w:val="subscript"/>
        </w:rPr>
        <w:t>4</w:t>
      </w:r>
      <w:r>
        <w:rPr>
          <w:rFonts w:ascii="Times New Roman"/>
          <w:snapToGrid w:val="0"/>
          <w:color w:val="000000"/>
          <w:kern w:val="0"/>
          <w:sz w:val="24"/>
        </w:rPr>
        <w:t>排放，具有促进农业绿色可持续发展的作用。</w:t>
      </w:r>
    </w:p>
    <w:p w14:paraId="6DDAA770">
      <w:pPr>
        <w:spacing w:before="156" w:beforeLines="50" w:after="156" w:afterLines="50" w:line="540" w:lineRule="exact"/>
        <w:outlineLvl w:val="0"/>
        <w:rPr>
          <w:rFonts w:eastAsia="黑体"/>
          <w:b/>
          <w:snapToGrid w:val="0"/>
          <w:color w:val="000000"/>
          <w:kern w:val="0"/>
          <w:sz w:val="24"/>
          <w:szCs w:val="24"/>
        </w:rPr>
      </w:pPr>
      <w:bookmarkStart w:id="21" w:name="_Toc183101606"/>
      <w:bookmarkStart w:id="22" w:name="_Toc183101840"/>
      <w:r>
        <w:rPr>
          <w:rFonts w:hint="eastAsia" w:eastAsia="黑体"/>
          <w:b/>
          <w:snapToGrid w:val="0"/>
          <w:color w:val="000000"/>
          <w:kern w:val="0"/>
          <w:sz w:val="24"/>
          <w:szCs w:val="24"/>
        </w:rPr>
        <w:t>四</w:t>
      </w:r>
      <w:r>
        <w:rPr>
          <w:rFonts w:eastAsia="黑体"/>
          <w:b/>
          <w:snapToGrid w:val="0"/>
          <w:color w:val="000000"/>
          <w:kern w:val="0"/>
          <w:sz w:val="24"/>
          <w:szCs w:val="24"/>
        </w:rPr>
        <w:t>、</w:t>
      </w:r>
      <w:r>
        <w:rPr>
          <w:rFonts w:hint="eastAsia" w:eastAsia="黑体"/>
          <w:b/>
          <w:snapToGrid w:val="0"/>
          <w:color w:val="000000"/>
          <w:kern w:val="0"/>
          <w:sz w:val="24"/>
          <w:szCs w:val="24"/>
        </w:rPr>
        <w:t>与国际、国外同类标准技术内容的对比情况，或者与测试的国外样品、样机的有关数据对比情况</w:t>
      </w:r>
      <w:bookmarkEnd w:id="21"/>
      <w:bookmarkEnd w:id="22"/>
    </w:p>
    <w:p w14:paraId="78566354">
      <w:pPr>
        <w:ind w:firstLine="480"/>
        <w:rPr>
          <w:snapToGrid w:val="0"/>
        </w:rPr>
      </w:pPr>
      <w:r>
        <w:rPr>
          <w:rFonts w:hint="eastAsia"/>
          <w:snapToGrid w:val="0"/>
        </w:rPr>
        <w:t>无。</w:t>
      </w:r>
    </w:p>
    <w:p w14:paraId="252D803C">
      <w:pPr>
        <w:spacing w:before="156" w:beforeLines="50" w:after="156" w:afterLines="50" w:line="540" w:lineRule="exact"/>
        <w:outlineLvl w:val="0"/>
        <w:rPr>
          <w:rFonts w:eastAsia="黑体"/>
          <w:b/>
          <w:snapToGrid w:val="0"/>
          <w:color w:val="000000"/>
          <w:kern w:val="0"/>
          <w:sz w:val="24"/>
          <w:szCs w:val="24"/>
        </w:rPr>
      </w:pPr>
      <w:r>
        <w:rPr>
          <w:rFonts w:eastAsia="黑体"/>
          <w:b/>
          <w:snapToGrid w:val="0"/>
          <w:color w:val="000000"/>
          <w:kern w:val="0"/>
          <w:sz w:val="24"/>
          <w:szCs w:val="24"/>
        </w:rPr>
        <w:t>五、与有关的现行法律、法规和强制性标准的关系</w:t>
      </w:r>
    </w:p>
    <w:p w14:paraId="5D9D34DE">
      <w:pPr>
        <w:pStyle w:val="7"/>
        <w:spacing w:line="360" w:lineRule="auto"/>
        <w:ind w:firstLine="480"/>
        <w:rPr>
          <w:rFonts w:ascii="Times New Roman"/>
          <w:snapToGrid w:val="0"/>
          <w:color w:val="000000"/>
          <w:kern w:val="0"/>
          <w:sz w:val="24"/>
        </w:rPr>
      </w:pPr>
      <w:r>
        <w:rPr>
          <w:rFonts w:ascii="Times New Roman"/>
          <w:snapToGrid w:val="0"/>
          <w:color w:val="000000"/>
          <w:kern w:val="0"/>
          <w:sz w:val="24"/>
        </w:rPr>
        <w:t>本标准的制定主要是保证水稻一定产量水平的基础上，确定土壤保育及碳氮减排措施，提升稻田面源污染和温室气体排放防控能力，确保稻田生产的可持续发展。本标准在制定过程中采纳了GB/T 30600  高标准农田建设 通则，GB/T 34818  农田水分盈亏量的计算方法，GB/T 28592  降水量等级，NY/T 3826  农田径流排水生态净化技术规范，NY/T 3955  水稻土地力分级与培肥改良技术规程等标准中的一些技术参数，与现行的法律、法规无冲突。</w:t>
      </w:r>
    </w:p>
    <w:p w14:paraId="730215E4">
      <w:pPr>
        <w:spacing w:before="156" w:beforeLines="50" w:after="156" w:afterLines="50" w:line="540" w:lineRule="exact"/>
        <w:outlineLvl w:val="0"/>
        <w:rPr>
          <w:rFonts w:eastAsia="黑体"/>
          <w:b/>
          <w:snapToGrid w:val="0"/>
          <w:color w:val="000000"/>
          <w:kern w:val="0"/>
          <w:sz w:val="24"/>
          <w:szCs w:val="24"/>
        </w:rPr>
      </w:pPr>
      <w:r>
        <w:rPr>
          <w:rFonts w:eastAsia="黑体"/>
          <w:b/>
          <w:snapToGrid w:val="0"/>
          <w:color w:val="000000"/>
          <w:kern w:val="0"/>
          <w:sz w:val="24"/>
          <w:szCs w:val="24"/>
        </w:rPr>
        <w:t>六、重大分歧意见的处理经过和依据</w:t>
      </w:r>
    </w:p>
    <w:p w14:paraId="320EC596">
      <w:pPr>
        <w:spacing w:line="360" w:lineRule="auto"/>
        <w:ind w:firstLine="480" w:firstLineChars="200"/>
        <w:rPr>
          <w:snapToGrid w:val="0"/>
          <w:color w:val="000000"/>
          <w:kern w:val="0"/>
          <w:sz w:val="24"/>
          <w:szCs w:val="24"/>
        </w:rPr>
      </w:pPr>
      <w:r>
        <w:rPr>
          <w:snapToGrid w:val="0"/>
          <w:color w:val="000000"/>
          <w:kern w:val="0"/>
          <w:sz w:val="24"/>
          <w:szCs w:val="24"/>
        </w:rPr>
        <w:t>无</w:t>
      </w:r>
    </w:p>
    <w:p w14:paraId="7BBEEBC6">
      <w:pPr>
        <w:spacing w:before="156" w:beforeLines="50" w:after="156" w:afterLines="50" w:line="540" w:lineRule="exact"/>
        <w:outlineLvl w:val="0"/>
        <w:rPr>
          <w:rFonts w:eastAsia="黑体"/>
          <w:b/>
          <w:snapToGrid w:val="0"/>
          <w:color w:val="000000"/>
          <w:kern w:val="0"/>
          <w:sz w:val="24"/>
          <w:szCs w:val="24"/>
        </w:rPr>
      </w:pPr>
      <w:r>
        <w:rPr>
          <w:rFonts w:eastAsia="黑体"/>
          <w:b/>
          <w:snapToGrid w:val="0"/>
          <w:color w:val="000000"/>
          <w:kern w:val="0"/>
          <w:sz w:val="24"/>
          <w:szCs w:val="24"/>
        </w:rPr>
        <w:t>七、标准作为强制性标准或推荐性标准的建议</w:t>
      </w:r>
    </w:p>
    <w:p w14:paraId="6667F46D">
      <w:pPr>
        <w:spacing w:line="360" w:lineRule="auto"/>
        <w:ind w:firstLine="480" w:firstLineChars="200"/>
        <w:rPr>
          <w:snapToGrid w:val="0"/>
          <w:color w:val="000000"/>
          <w:kern w:val="0"/>
          <w:sz w:val="24"/>
          <w:szCs w:val="24"/>
        </w:rPr>
      </w:pPr>
      <w:r>
        <w:rPr>
          <w:snapToGrid w:val="0"/>
          <w:color w:val="000000"/>
          <w:kern w:val="0"/>
          <w:sz w:val="24"/>
          <w:szCs w:val="24"/>
        </w:rPr>
        <w:t>本标准为农业环境类？类标准，并不涉及有关国家安全、保护人体健康和人身财产安全、环境质量要求等有关强制性地方标准或强制性条文等的八项要求之一，因此建议作为推荐性农业行业标准发布实施。</w:t>
      </w:r>
    </w:p>
    <w:p w14:paraId="3D18F036">
      <w:pPr>
        <w:spacing w:before="156" w:beforeLines="50" w:after="156" w:afterLines="50" w:line="540" w:lineRule="exact"/>
        <w:outlineLvl w:val="0"/>
        <w:rPr>
          <w:rFonts w:eastAsia="黑体"/>
          <w:b/>
          <w:snapToGrid w:val="0"/>
          <w:color w:val="000000"/>
          <w:kern w:val="0"/>
          <w:sz w:val="24"/>
          <w:szCs w:val="24"/>
        </w:rPr>
      </w:pPr>
      <w:r>
        <w:rPr>
          <w:rFonts w:eastAsia="黑体"/>
          <w:b/>
          <w:snapToGrid w:val="0"/>
          <w:color w:val="000000"/>
          <w:kern w:val="0"/>
          <w:sz w:val="24"/>
          <w:szCs w:val="24"/>
        </w:rPr>
        <w:t>八、贯彻标准的要求和措施建议</w:t>
      </w:r>
    </w:p>
    <w:p w14:paraId="00C40FB4">
      <w:pPr>
        <w:spacing w:line="360" w:lineRule="auto"/>
        <w:ind w:firstLine="480" w:firstLineChars="200"/>
        <w:rPr>
          <w:snapToGrid w:val="0"/>
          <w:color w:val="000000"/>
          <w:kern w:val="0"/>
          <w:sz w:val="24"/>
          <w:szCs w:val="24"/>
        </w:rPr>
      </w:pPr>
      <w:r>
        <w:rPr>
          <w:snapToGrid w:val="0"/>
          <w:color w:val="000000"/>
          <w:kern w:val="0"/>
          <w:sz w:val="24"/>
          <w:szCs w:val="24"/>
        </w:rPr>
        <w:t>本标准一经发布，标准起草组首先将给出该标准实施建议方案，其次，在农业农村部的协调推动下，有针对性地开展本标准的宣传和集中培训工作，增强实施标准的自觉性和规范性；通过标准的实施、监督、评价和改进活动，使标准得到有效运用，逐渐形成</w:t>
      </w:r>
      <w:bookmarkStart w:id="23" w:name="OLE_LINK4"/>
      <w:r>
        <w:rPr>
          <w:snapToGrid w:val="0"/>
          <w:color w:val="000000"/>
          <w:kern w:val="0"/>
          <w:sz w:val="24"/>
          <w:szCs w:val="24"/>
        </w:rPr>
        <w:t>双季稻生产技术规范</w:t>
      </w:r>
      <w:bookmarkEnd w:id="23"/>
      <w:r>
        <w:rPr>
          <w:snapToGrid w:val="0"/>
          <w:color w:val="000000"/>
          <w:kern w:val="0"/>
          <w:sz w:val="24"/>
          <w:szCs w:val="24"/>
        </w:rPr>
        <w:t>的标准化，推动行业健康发展。在本标准的执行过程中如果是标委会认可的、大家都采用的其它标准或者技术措施，可以作为本标准的补充进行使用。</w:t>
      </w:r>
    </w:p>
    <w:p w14:paraId="7C9B15D3">
      <w:pPr>
        <w:spacing w:before="156" w:beforeLines="50" w:after="156" w:afterLines="50" w:line="540" w:lineRule="exact"/>
        <w:outlineLvl w:val="0"/>
        <w:rPr>
          <w:rFonts w:eastAsia="黑体"/>
          <w:b/>
          <w:snapToGrid w:val="0"/>
          <w:color w:val="000000"/>
          <w:kern w:val="0"/>
          <w:sz w:val="24"/>
          <w:szCs w:val="24"/>
        </w:rPr>
      </w:pPr>
      <w:r>
        <w:rPr>
          <w:rFonts w:eastAsia="黑体"/>
          <w:b/>
          <w:snapToGrid w:val="0"/>
          <w:color w:val="000000"/>
          <w:kern w:val="0"/>
          <w:sz w:val="24"/>
          <w:szCs w:val="24"/>
        </w:rPr>
        <w:t>九、废止现行有关标准的建议</w:t>
      </w:r>
    </w:p>
    <w:p w14:paraId="64A12AA6">
      <w:pPr>
        <w:spacing w:line="360" w:lineRule="auto"/>
        <w:ind w:firstLine="480" w:firstLineChars="200"/>
        <w:rPr>
          <w:snapToGrid w:val="0"/>
          <w:color w:val="000000"/>
          <w:kern w:val="0"/>
          <w:sz w:val="24"/>
          <w:szCs w:val="24"/>
        </w:rPr>
      </w:pPr>
      <w:r>
        <w:rPr>
          <w:snapToGrid w:val="0"/>
          <w:color w:val="000000"/>
          <w:kern w:val="0"/>
          <w:sz w:val="24"/>
          <w:szCs w:val="24"/>
        </w:rPr>
        <w:t>无</w:t>
      </w:r>
    </w:p>
    <w:p w14:paraId="15EE165F">
      <w:pPr>
        <w:spacing w:before="156" w:beforeLines="50" w:after="156" w:afterLines="50" w:line="540" w:lineRule="exact"/>
        <w:outlineLvl w:val="0"/>
        <w:rPr>
          <w:rFonts w:eastAsia="黑体"/>
          <w:b/>
          <w:snapToGrid w:val="0"/>
          <w:color w:val="000000"/>
          <w:kern w:val="0"/>
          <w:sz w:val="24"/>
          <w:szCs w:val="24"/>
        </w:rPr>
      </w:pPr>
      <w:r>
        <w:rPr>
          <w:rFonts w:eastAsia="黑体"/>
          <w:b/>
          <w:snapToGrid w:val="0"/>
          <w:color w:val="000000"/>
          <w:kern w:val="0"/>
          <w:sz w:val="24"/>
          <w:szCs w:val="24"/>
        </w:rPr>
        <w:t>十、其他应予说明的事项</w:t>
      </w:r>
    </w:p>
    <w:p w14:paraId="69DCFBD9">
      <w:pPr>
        <w:spacing w:line="360" w:lineRule="auto"/>
        <w:ind w:firstLine="480" w:firstLineChars="200"/>
        <w:rPr>
          <w:snapToGrid w:val="0"/>
          <w:color w:val="000000"/>
          <w:kern w:val="0"/>
          <w:sz w:val="24"/>
          <w:szCs w:val="24"/>
        </w:rPr>
      </w:pPr>
      <w:r>
        <w:rPr>
          <w:snapToGrid w:val="0"/>
          <w:color w:val="000000"/>
          <w:kern w:val="0"/>
          <w:sz w:val="24"/>
          <w:szCs w:val="24"/>
        </w:rPr>
        <w:t>无</w:t>
      </w:r>
    </w:p>
    <w:p w14:paraId="5DB69CA8">
      <w:pPr>
        <w:spacing w:before="156" w:beforeLines="50" w:after="156" w:afterLines="50" w:line="540" w:lineRule="exact"/>
        <w:outlineLvl w:val="0"/>
        <w:rPr>
          <w:rFonts w:eastAsia="黑体"/>
          <w:b/>
          <w:snapToGrid w:val="0"/>
          <w:color w:val="000000"/>
          <w:kern w:val="0"/>
          <w:sz w:val="24"/>
          <w:szCs w:val="24"/>
        </w:rPr>
      </w:pPr>
      <w:r>
        <w:rPr>
          <w:rFonts w:hint="eastAsia" w:eastAsia="黑体"/>
          <w:b/>
          <w:snapToGrid w:val="0"/>
          <w:color w:val="000000"/>
          <w:kern w:val="0"/>
          <w:sz w:val="24"/>
          <w:szCs w:val="24"/>
        </w:rPr>
        <w:t>主要</w:t>
      </w:r>
      <w:r>
        <w:rPr>
          <w:rFonts w:eastAsia="黑体"/>
          <w:b/>
          <w:snapToGrid w:val="0"/>
          <w:color w:val="000000"/>
          <w:kern w:val="0"/>
          <w:sz w:val="24"/>
          <w:szCs w:val="24"/>
        </w:rPr>
        <w:t>参考文献</w:t>
      </w:r>
    </w:p>
    <w:p w14:paraId="41A4B74B">
      <w:pPr>
        <w:autoSpaceDE w:val="0"/>
        <w:autoSpaceDN w:val="0"/>
        <w:adjustRightInd w:val="0"/>
        <w:spacing w:line="360" w:lineRule="auto"/>
        <w:ind w:left="278" w:hanging="278"/>
        <w:rPr>
          <w:kern w:val="0"/>
          <w:sz w:val="24"/>
          <w:szCs w:val="24"/>
        </w:rPr>
      </w:pPr>
      <w:bookmarkStart w:id="24" w:name="_neb4D6999EB_6F8E_49A4_9857_E0D13495E6C3"/>
      <w:r>
        <w:rPr>
          <w:color w:val="000000"/>
          <w:kern w:val="0"/>
          <w:sz w:val="24"/>
          <w:szCs w:val="24"/>
        </w:rPr>
        <w:t>Cowan, N., Bhatia, A., Drewer, J., Jain, N., Singh, R., Tomer, R., Kumar, V., Kumar, O., Prasanna, R., Ramakrishnan, B., Kumar, D., Bandyopadhyay, S.K., Sutton, M., Pathak, H., 2021. Experimental comparison of continuous and intermittent flooding of rice in relation to methane, nitrous oxide and ammonia emissions and the implications for nitrogen use efficiency and yield. Agriculture, Ecosystems &amp; Environment 319, 107571. https://10.1016/j.agee.2021.107571.</w:t>
      </w:r>
      <w:bookmarkEnd w:id="24"/>
    </w:p>
    <w:p w14:paraId="67187F0D">
      <w:pPr>
        <w:autoSpaceDE w:val="0"/>
        <w:autoSpaceDN w:val="0"/>
        <w:adjustRightInd w:val="0"/>
        <w:spacing w:line="360" w:lineRule="auto"/>
        <w:ind w:left="278" w:hanging="278"/>
        <w:rPr>
          <w:kern w:val="0"/>
          <w:sz w:val="24"/>
          <w:szCs w:val="24"/>
        </w:rPr>
      </w:pPr>
      <w:bookmarkStart w:id="25" w:name="_nebDA705E6B_5BD1_4BE7_9895_1A163A0C5493"/>
      <w:r>
        <w:rPr>
          <w:color w:val="000000"/>
          <w:kern w:val="0"/>
          <w:sz w:val="24"/>
          <w:szCs w:val="24"/>
        </w:rPr>
        <w:t>Hua, L., Zhai, L., Liu, J., Liu, H., Zhang, F., Fan, X., 2019. Effect of irrigation-drainage unit on phosphorus interception in paddy field system. J. Environ. Manage. 235, 319-327. https://https://doi.org/10.1016/j.jenvman.2019.01.059.</w:t>
      </w:r>
      <w:bookmarkEnd w:id="25"/>
    </w:p>
    <w:p w14:paraId="31CF0884">
      <w:pPr>
        <w:autoSpaceDE w:val="0"/>
        <w:autoSpaceDN w:val="0"/>
        <w:adjustRightInd w:val="0"/>
        <w:spacing w:line="360" w:lineRule="auto"/>
        <w:ind w:left="278" w:hanging="278"/>
        <w:rPr>
          <w:kern w:val="0"/>
          <w:sz w:val="24"/>
          <w:szCs w:val="24"/>
        </w:rPr>
      </w:pPr>
      <w:bookmarkStart w:id="26" w:name="_neb03DC288C_0F27_45ED_B4D9_D6EABB091F15"/>
      <w:r>
        <w:rPr>
          <w:color w:val="000000"/>
          <w:kern w:val="0"/>
          <w:sz w:val="24"/>
          <w:szCs w:val="24"/>
        </w:rPr>
        <w:t>Liu, Q., Li, Y., Liu, S., Gao, W., Shen, J., Zhang, G., Xu, H., Zhu, Z., Ge, T., Wu, J., 2022. Anaerobic primed CO2 and CH4 in paddy soil are driven by fe reduction and stimulated by biochar. Sci. Total Environ. 808, 151911. https://https://doi.org/10.1016/j.scitotenv.2021.151911.</w:t>
      </w:r>
      <w:bookmarkEnd w:id="26"/>
    </w:p>
    <w:p w14:paraId="6E866DEB">
      <w:pPr>
        <w:autoSpaceDE w:val="0"/>
        <w:autoSpaceDN w:val="0"/>
        <w:adjustRightInd w:val="0"/>
        <w:spacing w:line="360" w:lineRule="auto"/>
        <w:ind w:left="278" w:hanging="278"/>
        <w:rPr>
          <w:kern w:val="0"/>
          <w:sz w:val="24"/>
          <w:szCs w:val="24"/>
        </w:rPr>
      </w:pPr>
      <w:bookmarkStart w:id="27" w:name="_nebC27FF654_8229_4E6F_9029_72B6F572EEED"/>
      <w:r>
        <w:rPr>
          <w:color w:val="000000"/>
          <w:kern w:val="0"/>
          <w:sz w:val="24"/>
          <w:szCs w:val="24"/>
        </w:rPr>
        <w:t>Song, H.J., Lee, J.H., Canatoy, R.C., Lee, J.G., Kim, P.J., 2021. Strong mitigation of greenhouse gas emission impact via aerobic short pre-digestion of green manure amended soils during rice cropping. Sci. Total Environ. 761, 143193. https://https://doi.org/10.1016/j.scitotenv.2020.143193.</w:t>
      </w:r>
      <w:bookmarkEnd w:id="27"/>
    </w:p>
    <w:p w14:paraId="3633B287">
      <w:pPr>
        <w:autoSpaceDE w:val="0"/>
        <w:autoSpaceDN w:val="0"/>
        <w:adjustRightInd w:val="0"/>
        <w:spacing w:line="360" w:lineRule="auto"/>
        <w:ind w:left="278" w:hanging="278"/>
        <w:rPr>
          <w:kern w:val="0"/>
          <w:sz w:val="24"/>
          <w:szCs w:val="24"/>
        </w:rPr>
      </w:pPr>
      <w:bookmarkStart w:id="28" w:name="_neb7D6C8D73_79EE_4467_A6C8_A627E2558BE6"/>
      <w:r>
        <w:rPr>
          <w:color w:val="000000"/>
          <w:kern w:val="0"/>
          <w:sz w:val="24"/>
          <w:szCs w:val="24"/>
        </w:rPr>
        <w:t>Toma, Y., Takechi, Y., Inoue, A., Nakaya, N., Hosoya, K., Yamashita, Y., Adachi, M., Kono, T., Hideto, U., 2021. Early mid-season drainage can mitigate greenhouse gas emission from organic rice farming with green manure application. Soil Science and Plant Nutrition (Tokyo) 67 (4), 482-492. https://10.1080/00380768.2021.1927832.</w:t>
      </w:r>
      <w:bookmarkEnd w:id="28"/>
    </w:p>
    <w:p w14:paraId="7854BD15">
      <w:pPr>
        <w:autoSpaceDE w:val="0"/>
        <w:autoSpaceDN w:val="0"/>
        <w:adjustRightInd w:val="0"/>
        <w:spacing w:line="360" w:lineRule="auto"/>
        <w:ind w:left="278" w:hanging="278"/>
        <w:rPr>
          <w:kern w:val="0"/>
          <w:sz w:val="24"/>
          <w:szCs w:val="24"/>
        </w:rPr>
      </w:pPr>
      <w:bookmarkStart w:id="29" w:name="_nebB68CA0DE_6508_48D2_A199_6C62077F8D6D"/>
      <w:r>
        <w:rPr>
          <w:color w:val="000000"/>
          <w:kern w:val="0"/>
          <w:sz w:val="24"/>
          <w:szCs w:val="24"/>
        </w:rPr>
        <w:t>Wang, S., Liu, Y., Zhang, F., Jin, K., Liu, H., Zhai, L., 2024. Methane emissions sources and impact mechanisms altered by the shift from rice-wheat to rice-crayfish rotation. J. Clean. Prod. 434, 139968. https://https://doi.org/10.1016/j.jclepro.2023.139968.</w:t>
      </w:r>
      <w:bookmarkEnd w:id="29"/>
    </w:p>
    <w:p w14:paraId="65E6B8E0">
      <w:pPr>
        <w:autoSpaceDE w:val="0"/>
        <w:autoSpaceDN w:val="0"/>
        <w:adjustRightInd w:val="0"/>
        <w:spacing w:line="360" w:lineRule="auto"/>
        <w:ind w:left="278" w:hanging="278"/>
        <w:rPr>
          <w:kern w:val="0"/>
          <w:sz w:val="24"/>
          <w:szCs w:val="24"/>
        </w:rPr>
      </w:pPr>
      <w:bookmarkStart w:id="30" w:name="_neb2F049F2B_BBD8_4A2F_81AB_752448CB9B05"/>
      <w:r>
        <w:rPr>
          <w:rFonts w:hint="eastAsia" w:ascii="宋体" w:cs="宋体"/>
          <w:color w:val="000000"/>
          <w:kern w:val="0"/>
          <w:sz w:val="24"/>
          <w:szCs w:val="24"/>
        </w:rPr>
        <w:t>陈静蕊</w:t>
      </w:r>
      <w:r>
        <w:rPr>
          <w:color w:val="000000"/>
          <w:kern w:val="0"/>
          <w:sz w:val="24"/>
          <w:szCs w:val="24"/>
        </w:rPr>
        <w:t xml:space="preserve">, </w:t>
      </w:r>
      <w:r>
        <w:rPr>
          <w:rFonts w:hint="eastAsia" w:ascii="宋体" w:cs="宋体"/>
          <w:color w:val="000000"/>
          <w:kern w:val="0"/>
          <w:sz w:val="24"/>
          <w:szCs w:val="24"/>
        </w:rPr>
        <w:t>陈晓芬</w:t>
      </w:r>
      <w:r>
        <w:rPr>
          <w:color w:val="000000"/>
          <w:kern w:val="0"/>
          <w:sz w:val="24"/>
          <w:szCs w:val="24"/>
        </w:rPr>
        <w:t xml:space="preserve">, </w:t>
      </w:r>
      <w:r>
        <w:rPr>
          <w:rFonts w:hint="eastAsia" w:ascii="宋体" w:cs="宋体"/>
          <w:color w:val="000000"/>
          <w:kern w:val="0"/>
          <w:sz w:val="24"/>
          <w:szCs w:val="24"/>
        </w:rPr>
        <w:t>秦文婧</w:t>
      </w:r>
      <w:r>
        <w:rPr>
          <w:color w:val="000000"/>
          <w:kern w:val="0"/>
          <w:sz w:val="24"/>
          <w:szCs w:val="24"/>
        </w:rPr>
        <w:t xml:space="preserve">, </w:t>
      </w:r>
      <w:r>
        <w:rPr>
          <w:rFonts w:hint="eastAsia" w:ascii="宋体" w:cs="宋体"/>
          <w:color w:val="000000"/>
          <w:kern w:val="0"/>
          <w:sz w:val="24"/>
          <w:szCs w:val="24"/>
        </w:rPr>
        <w:t>王少先</w:t>
      </w:r>
      <w:r>
        <w:rPr>
          <w:color w:val="000000"/>
          <w:kern w:val="0"/>
          <w:sz w:val="24"/>
          <w:szCs w:val="24"/>
        </w:rPr>
        <w:t xml:space="preserve">, </w:t>
      </w:r>
      <w:r>
        <w:rPr>
          <w:rFonts w:hint="eastAsia" w:ascii="宋体" w:cs="宋体"/>
          <w:color w:val="000000"/>
          <w:kern w:val="0"/>
          <w:sz w:val="24"/>
          <w:szCs w:val="24"/>
        </w:rPr>
        <w:t>刘光荣</w:t>
      </w:r>
      <w:r>
        <w:rPr>
          <w:color w:val="000000"/>
          <w:kern w:val="0"/>
          <w:sz w:val="24"/>
          <w:szCs w:val="24"/>
        </w:rPr>
        <w:t xml:space="preserve">, </w:t>
      </w:r>
      <w:r>
        <w:rPr>
          <w:rFonts w:hint="eastAsia" w:ascii="宋体" w:cs="宋体"/>
          <w:color w:val="000000"/>
          <w:kern w:val="0"/>
          <w:sz w:val="24"/>
          <w:szCs w:val="24"/>
        </w:rPr>
        <w:t>曹卫东</w:t>
      </w:r>
      <w:r>
        <w:rPr>
          <w:color w:val="000000"/>
          <w:kern w:val="0"/>
          <w:sz w:val="24"/>
          <w:szCs w:val="24"/>
        </w:rPr>
        <w:t xml:space="preserve">, </w:t>
      </w:r>
      <w:r>
        <w:rPr>
          <w:rFonts w:hint="eastAsia" w:ascii="宋体" w:cs="宋体"/>
          <w:color w:val="000000"/>
          <w:kern w:val="0"/>
          <w:sz w:val="24"/>
          <w:szCs w:val="24"/>
        </w:rPr>
        <w:t>吕伟</w:t>
      </w:r>
      <w:r>
        <w:rPr>
          <w:color w:val="000000"/>
          <w:kern w:val="0"/>
          <w:sz w:val="24"/>
          <w:szCs w:val="24"/>
        </w:rPr>
        <w:t xml:space="preserve">, </w:t>
      </w:r>
      <w:r>
        <w:rPr>
          <w:rFonts w:hint="eastAsia" w:ascii="宋体" w:cs="宋体"/>
          <w:color w:val="000000"/>
          <w:kern w:val="0"/>
          <w:sz w:val="24"/>
          <w:szCs w:val="24"/>
        </w:rPr>
        <w:t>徐昌旭</w:t>
      </w:r>
      <w:r>
        <w:rPr>
          <w:color w:val="000000"/>
          <w:kern w:val="0"/>
          <w:sz w:val="24"/>
          <w:szCs w:val="24"/>
        </w:rPr>
        <w:t xml:space="preserve">, </w:t>
      </w:r>
      <w:r>
        <w:rPr>
          <w:rFonts w:hint="eastAsia" w:ascii="宋体" w:cs="宋体"/>
          <w:color w:val="000000"/>
          <w:kern w:val="0"/>
          <w:sz w:val="24"/>
          <w:szCs w:val="24"/>
        </w:rPr>
        <w:t>刘佳</w:t>
      </w:r>
      <w:r>
        <w:rPr>
          <w:color w:val="000000"/>
          <w:kern w:val="0"/>
          <w:sz w:val="24"/>
          <w:szCs w:val="24"/>
        </w:rPr>
        <w:t xml:space="preserve">, 2020. </w:t>
      </w:r>
      <w:r>
        <w:rPr>
          <w:rFonts w:hint="eastAsia" w:ascii="宋体" w:cs="宋体"/>
          <w:color w:val="000000"/>
          <w:kern w:val="0"/>
          <w:sz w:val="24"/>
          <w:szCs w:val="24"/>
        </w:rPr>
        <w:t>紫云英还田对江西早稻季田面水氮磷动态的影响</w:t>
      </w:r>
      <w:r>
        <w:rPr>
          <w:color w:val="000000"/>
          <w:kern w:val="0"/>
          <w:sz w:val="24"/>
          <w:szCs w:val="24"/>
        </w:rPr>
        <w:t xml:space="preserve">. </w:t>
      </w:r>
      <w:r>
        <w:rPr>
          <w:rFonts w:hint="eastAsia" w:ascii="宋体" w:cs="宋体"/>
          <w:color w:val="000000"/>
          <w:kern w:val="0"/>
          <w:sz w:val="24"/>
          <w:szCs w:val="24"/>
        </w:rPr>
        <w:t>生态环境学报</w:t>
      </w:r>
      <w:r>
        <w:rPr>
          <w:color w:val="000000"/>
          <w:kern w:val="0"/>
          <w:sz w:val="24"/>
          <w:szCs w:val="24"/>
        </w:rPr>
        <w:t xml:space="preserve"> 29 (07), 1352-1358. https://10.16258/j.cnki.1674-5906.2020.07.009.</w:t>
      </w:r>
      <w:bookmarkEnd w:id="30"/>
    </w:p>
    <w:p w14:paraId="5F4F5917">
      <w:pPr>
        <w:autoSpaceDE w:val="0"/>
        <w:autoSpaceDN w:val="0"/>
        <w:adjustRightInd w:val="0"/>
        <w:spacing w:line="360" w:lineRule="auto"/>
        <w:ind w:left="278" w:hanging="278"/>
        <w:rPr>
          <w:kern w:val="0"/>
          <w:sz w:val="24"/>
          <w:szCs w:val="24"/>
        </w:rPr>
      </w:pPr>
      <w:bookmarkStart w:id="31" w:name="_neb5FD99C69_5348_43A6_91AA_0F80415CA4E4"/>
      <w:r>
        <w:rPr>
          <w:rFonts w:hint="eastAsia" w:ascii="宋体" w:cs="宋体"/>
          <w:color w:val="000000"/>
          <w:kern w:val="0"/>
          <w:sz w:val="24"/>
          <w:szCs w:val="24"/>
        </w:rPr>
        <w:t>高菊生</w:t>
      </w:r>
      <w:r>
        <w:rPr>
          <w:color w:val="000000"/>
          <w:kern w:val="0"/>
          <w:sz w:val="24"/>
          <w:szCs w:val="24"/>
        </w:rPr>
        <w:t xml:space="preserve">, </w:t>
      </w:r>
      <w:r>
        <w:rPr>
          <w:rFonts w:hint="eastAsia" w:ascii="宋体" w:cs="宋体"/>
          <w:color w:val="000000"/>
          <w:kern w:val="0"/>
          <w:sz w:val="24"/>
          <w:szCs w:val="24"/>
        </w:rPr>
        <w:t>黄晶</w:t>
      </w:r>
      <w:r>
        <w:rPr>
          <w:color w:val="000000"/>
          <w:kern w:val="0"/>
          <w:sz w:val="24"/>
          <w:szCs w:val="24"/>
        </w:rPr>
        <w:t xml:space="preserve">, </w:t>
      </w:r>
      <w:r>
        <w:rPr>
          <w:rFonts w:hint="eastAsia" w:ascii="宋体" w:cs="宋体"/>
          <w:color w:val="000000"/>
          <w:kern w:val="0"/>
          <w:sz w:val="24"/>
          <w:szCs w:val="24"/>
        </w:rPr>
        <w:t>杨志长</w:t>
      </w:r>
      <w:r>
        <w:rPr>
          <w:color w:val="000000"/>
          <w:kern w:val="0"/>
          <w:sz w:val="24"/>
          <w:szCs w:val="24"/>
        </w:rPr>
        <w:t xml:space="preserve">, </w:t>
      </w:r>
      <w:r>
        <w:rPr>
          <w:rFonts w:hint="eastAsia" w:ascii="宋体" w:cs="宋体"/>
          <w:color w:val="000000"/>
          <w:kern w:val="0"/>
          <w:sz w:val="24"/>
          <w:szCs w:val="24"/>
        </w:rPr>
        <w:t>曹卫东</w:t>
      </w:r>
      <w:r>
        <w:rPr>
          <w:color w:val="000000"/>
          <w:kern w:val="0"/>
          <w:sz w:val="24"/>
          <w:szCs w:val="24"/>
        </w:rPr>
        <w:t xml:space="preserve">, </w:t>
      </w:r>
      <w:r>
        <w:rPr>
          <w:rFonts w:hint="eastAsia" w:ascii="宋体" w:cs="宋体"/>
          <w:color w:val="000000"/>
          <w:kern w:val="0"/>
          <w:sz w:val="24"/>
          <w:szCs w:val="24"/>
        </w:rPr>
        <w:t>张会民</w:t>
      </w:r>
      <w:r>
        <w:rPr>
          <w:color w:val="000000"/>
          <w:kern w:val="0"/>
          <w:sz w:val="24"/>
          <w:szCs w:val="24"/>
        </w:rPr>
        <w:t xml:space="preserve">, </w:t>
      </w:r>
      <w:r>
        <w:rPr>
          <w:rFonts w:hint="eastAsia" w:ascii="宋体" w:cs="宋体"/>
          <w:color w:val="000000"/>
          <w:kern w:val="0"/>
          <w:sz w:val="24"/>
          <w:szCs w:val="24"/>
        </w:rPr>
        <w:t>高鹏</w:t>
      </w:r>
      <w:r>
        <w:rPr>
          <w:color w:val="000000"/>
          <w:kern w:val="0"/>
          <w:sz w:val="24"/>
          <w:szCs w:val="24"/>
        </w:rPr>
        <w:t xml:space="preserve">, </w:t>
      </w:r>
      <w:r>
        <w:rPr>
          <w:rFonts w:hint="eastAsia" w:ascii="宋体" w:cs="宋体"/>
          <w:color w:val="000000"/>
          <w:kern w:val="0"/>
          <w:sz w:val="24"/>
          <w:szCs w:val="24"/>
        </w:rPr>
        <w:t>高学成</w:t>
      </w:r>
      <w:r>
        <w:rPr>
          <w:color w:val="000000"/>
          <w:kern w:val="0"/>
          <w:sz w:val="24"/>
          <w:szCs w:val="24"/>
        </w:rPr>
        <w:t xml:space="preserve">, 2020. </w:t>
      </w:r>
      <w:r>
        <w:rPr>
          <w:rFonts w:hint="eastAsia" w:ascii="宋体" w:cs="宋体"/>
          <w:color w:val="000000"/>
          <w:kern w:val="0"/>
          <w:sz w:val="24"/>
          <w:szCs w:val="24"/>
        </w:rPr>
        <w:t>绿肥和稻草联合还田提高土壤有机质含量并稳定氮素供应</w:t>
      </w:r>
      <w:r>
        <w:rPr>
          <w:color w:val="000000"/>
          <w:kern w:val="0"/>
          <w:sz w:val="24"/>
          <w:szCs w:val="24"/>
        </w:rPr>
        <w:t xml:space="preserve">. </w:t>
      </w:r>
      <w:r>
        <w:rPr>
          <w:rFonts w:hint="eastAsia" w:ascii="宋体" w:cs="宋体"/>
          <w:color w:val="000000"/>
          <w:kern w:val="0"/>
          <w:sz w:val="24"/>
          <w:szCs w:val="24"/>
        </w:rPr>
        <w:t>植物营养与肥料学报</w:t>
      </w:r>
      <w:r>
        <w:rPr>
          <w:color w:val="000000"/>
          <w:kern w:val="0"/>
          <w:sz w:val="24"/>
          <w:szCs w:val="24"/>
        </w:rPr>
        <w:t xml:space="preserve"> 26 (03), 472-480.</w:t>
      </w:r>
      <w:bookmarkEnd w:id="31"/>
    </w:p>
    <w:p w14:paraId="0219C0E5">
      <w:pPr>
        <w:autoSpaceDE w:val="0"/>
        <w:autoSpaceDN w:val="0"/>
        <w:adjustRightInd w:val="0"/>
        <w:spacing w:line="360" w:lineRule="auto"/>
        <w:ind w:left="278" w:hanging="278"/>
        <w:rPr>
          <w:kern w:val="0"/>
          <w:sz w:val="24"/>
          <w:szCs w:val="24"/>
        </w:rPr>
      </w:pPr>
      <w:bookmarkStart w:id="32" w:name="_neb1C980F06_3BE9_4886_BD28_C3C62B9BACB5"/>
      <w:r>
        <w:rPr>
          <w:rFonts w:hint="eastAsia" w:ascii="宋体" w:cs="宋体"/>
          <w:color w:val="000000"/>
          <w:kern w:val="0"/>
          <w:sz w:val="24"/>
          <w:szCs w:val="24"/>
        </w:rPr>
        <w:t>高嵩涓</w:t>
      </w:r>
      <w:r>
        <w:rPr>
          <w:color w:val="000000"/>
          <w:kern w:val="0"/>
          <w:sz w:val="24"/>
          <w:szCs w:val="24"/>
        </w:rPr>
        <w:t xml:space="preserve">, </w:t>
      </w:r>
      <w:r>
        <w:rPr>
          <w:rFonts w:hint="eastAsia" w:ascii="宋体" w:cs="宋体"/>
          <w:color w:val="000000"/>
          <w:kern w:val="0"/>
          <w:sz w:val="24"/>
          <w:szCs w:val="24"/>
        </w:rPr>
        <w:t>周国朋</w:t>
      </w:r>
      <w:r>
        <w:rPr>
          <w:color w:val="000000"/>
          <w:kern w:val="0"/>
          <w:sz w:val="24"/>
          <w:szCs w:val="24"/>
        </w:rPr>
        <w:t xml:space="preserve">, </w:t>
      </w:r>
      <w:r>
        <w:rPr>
          <w:rFonts w:hint="eastAsia" w:ascii="宋体" w:cs="宋体"/>
          <w:color w:val="000000"/>
          <w:kern w:val="0"/>
          <w:sz w:val="24"/>
          <w:szCs w:val="24"/>
        </w:rPr>
        <w:t>曹卫东</w:t>
      </w:r>
      <w:r>
        <w:rPr>
          <w:color w:val="000000"/>
          <w:kern w:val="0"/>
          <w:sz w:val="24"/>
          <w:szCs w:val="24"/>
        </w:rPr>
        <w:t xml:space="preserve">, 2020. </w:t>
      </w:r>
      <w:r>
        <w:rPr>
          <w:rFonts w:hint="eastAsia" w:ascii="宋体" w:cs="宋体"/>
          <w:color w:val="000000"/>
          <w:kern w:val="0"/>
          <w:sz w:val="24"/>
          <w:szCs w:val="24"/>
        </w:rPr>
        <w:t>南方稻田紫云英作冬绿肥的增产节肥效应与机制</w:t>
      </w:r>
      <w:r>
        <w:rPr>
          <w:color w:val="000000"/>
          <w:kern w:val="0"/>
          <w:sz w:val="24"/>
          <w:szCs w:val="24"/>
        </w:rPr>
        <w:t xml:space="preserve">. </w:t>
      </w:r>
      <w:r>
        <w:rPr>
          <w:rFonts w:hint="eastAsia" w:ascii="宋体" w:cs="宋体"/>
          <w:color w:val="000000"/>
          <w:kern w:val="0"/>
          <w:sz w:val="24"/>
          <w:szCs w:val="24"/>
        </w:rPr>
        <w:t>植物营养与肥料学报</w:t>
      </w:r>
      <w:r>
        <w:rPr>
          <w:color w:val="000000"/>
          <w:kern w:val="0"/>
          <w:sz w:val="24"/>
          <w:szCs w:val="24"/>
        </w:rPr>
        <w:t xml:space="preserve"> 26 (12), 2115-2126.</w:t>
      </w:r>
      <w:bookmarkEnd w:id="32"/>
    </w:p>
    <w:p w14:paraId="3109B622">
      <w:pPr>
        <w:autoSpaceDE w:val="0"/>
        <w:autoSpaceDN w:val="0"/>
        <w:adjustRightInd w:val="0"/>
        <w:spacing w:line="360" w:lineRule="auto"/>
        <w:ind w:left="278" w:hanging="278"/>
        <w:rPr>
          <w:kern w:val="0"/>
          <w:sz w:val="24"/>
          <w:szCs w:val="24"/>
        </w:rPr>
      </w:pPr>
      <w:bookmarkStart w:id="33" w:name="_neb0DC6E529_C9AA_43D1_A3DF_72420B86E8FA"/>
      <w:r>
        <w:rPr>
          <w:rFonts w:hint="eastAsia" w:ascii="宋体" w:cs="宋体"/>
          <w:color w:val="000000"/>
          <w:kern w:val="0"/>
          <w:sz w:val="24"/>
          <w:szCs w:val="24"/>
        </w:rPr>
        <w:t>怀燕</w:t>
      </w:r>
      <w:r>
        <w:rPr>
          <w:color w:val="000000"/>
          <w:kern w:val="0"/>
          <w:sz w:val="24"/>
          <w:szCs w:val="24"/>
        </w:rPr>
        <w:t xml:space="preserve">, </w:t>
      </w:r>
      <w:r>
        <w:rPr>
          <w:rFonts w:hint="eastAsia" w:ascii="宋体" w:cs="宋体"/>
          <w:color w:val="000000"/>
          <w:kern w:val="0"/>
          <w:sz w:val="24"/>
          <w:szCs w:val="24"/>
        </w:rPr>
        <w:t>陈照明</w:t>
      </w:r>
      <w:r>
        <w:rPr>
          <w:color w:val="000000"/>
          <w:kern w:val="0"/>
          <w:sz w:val="24"/>
          <w:szCs w:val="24"/>
        </w:rPr>
        <w:t xml:space="preserve">, </w:t>
      </w:r>
      <w:r>
        <w:rPr>
          <w:rFonts w:hint="eastAsia" w:ascii="宋体" w:cs="宋体"/>
          <w:color w:val="000000"/>
          <w:kern w:val="0"/>
          <w:sz w:val="24"/>
          <w:szCs w:val="24"/>
        </w:rPr>
        <w:t>张耿苗</w:t>
      </w:r>
      <w:r>
        <w:rPr>
          <w:color w:val="000000"/>
          <w:kern w:val="0"/>
          <w:sz w:val="24"/>
          <w:szCs w:val="24"/>
        </w:rPr>
        <w:t xml:space="preserve">, </w:t>
      </w:r>
      <w:r>
        <w:rPr>
          <w:rFonts w:hint="eastAsia" w:ascii="宋体" w:cs="宋体"/>
          <w:color w:val="000000"/>
          <w:kern w:val="0"/>
          <w:sz w:val="24"/>
          <w:szCs w:val="24"/>
        </w:rPr>
        <w:t>姜铭北</w:t>
      </w:r>
      <w:r>
        <w:rPr>
          <w:color w:val="000000"/>
          <w:kern w:val="0"/>
          <w:sz w:val="24"/>
          <w:szCs w:val="24"/>
        </w:rPr>
        <w:t xml:space="preserve">, </w:t>
      </w:r>
      <w:r>
        <w:rPr>
          <w:rFonts w:hint="eastAsia" w:ascii="宋体" w:cs="宋体"/>
          <w:color w:val="000000"/>
          <w:kern w:val="0"/>
          <w:sz w:val="24"/>
          <w:szCs w:val="24"/>
        </w:rPr>
        <w:t>许剑锋</w:t>
      </w:r>
      <w:r>
        <w:rPr>
          <w:color w:val="000000"/>
          <w:kern w:val="0"/>
          <w:sz w:val="24"/>
          <w:szCs w:val="24"/>
        </w:rPr>
        <w:t xml:space="preserve">, </w:t>
      </w:r>
      <w:r>
        <w:rPr>
          <w:rFonts w:hint="eastAsia" w:ascii="宋体" w:cs="宋体"/>
          <w:color w:val="000000"/>
          <w:kern w:val="0"/>
          <w:sz w:val="24"/>
          <w:szCs w:val="24"/>
        </w:rPr>
        <w:t>王强</w:t>
      </w:r>
      <w:r>
        <w:rPr>
          <w:color w:val="000000"/>
          <w:kern w:val="0"/>
          <w:sz w:val="24"/>
          <w:szCs w:val="24"/>
        </w:rPr>
        <w:t xml:space="preserve">, 2020. </w:t>
      </w:r>
      <w:r>
        <w:rPr>
          <w:rFonts w:hint="eastAsia" w:ascii="宋体" w:cs="宋体"/>
          <w:color w:val="000000"/>
          <w:kern w:val="0"/>
          <w:sz w:val="24"/>
          <w:szCs w:val="24"/>
        </w:rPr>
        <w:t>水稻侧深施肥技术的氮肥减施效应</w:t>
      </w:r>
      <w:r>
        <w:rPr>
          <w:color w:val="000000"/>
          <w:kern w:val="0"/>
          <w:sz w:val="24"/>
          <w:szCs w:val="24"/>
        </w:rPr>
        <w:t xml:space="preserve">. </w:t>
      </w:r>
      <w:r>
        <w:rPr>
          <w:rFonts w:hint="eastAsia" w:ascii="宋体" w:cs="宋体"/>
          <w:color w:val="000000"/>
          <w:kern w:val="0"/>
          <w:sz w:val="24"/>
          <w:szCs w:val="24"/>
        </w:rPr>
        <w:t>浙江大学学报</w:t>
      </w:r>
      <w:r>
        <w:rPr>
          <w:color w:val="000000"/>
          <w:kern w:val="0"/>
          <w:sz w:val="24"/>
          <w:szCs w:val="24"/>
        </w:rPr>
        <w:t>(</w:t>
      </w:r>
      <w:r>
        <w:rPr>
          <w:rFonts w:hint="eastAsia" w:ascii="宋体" w:cs="宋体"/>
          <w:color w:val="000000"/>
          <w:kern w:val="0"/>
          <w:sz w:val="24"/>
          <w:szCs w:val="24"/>
        </w:rPr>
        <w:t>农业与生命科学版</w:t>
      </w:r>
      <w:r>
        <w:rPr>
          <w:color w:val="000000"/>
          <w:kern w:val="0"/>
          <w:sz w:val="24"/>
          <w:szCs w:val="24"/>
        </w:rPr>
        <w:t>) 46 (02), 217-224.</w:t>
      </w:r>
      <w:bookmarkEnd w:id="33"/>
    </w:p>
    <w:p w14:paraId="5C9CFEE2">
      <w:pPr>
        <w:autoSpaceDE w:val="0"/>
        <w:autoSpaceDN w:val="0"/>
        <w:adjustRightInd w:val="0"/>
        <w:spacing w:line="360" w:lineRule="auto"/>
        <w:ind w:left="278" w:hanging="278"/>
        <w:rPr>
          <w:kern w:val="0"/>
          <w:sz w:val="24"/>
          <w:szCs w:val="24"/>
        </w:rPr>
      </w:pPr>
      <w:bookmarkStart w:id="34" w:name="_nebF0529A98_B382_4B32_B5B3_32E3AE56B337"/>
      <w:r>
        <w:rPr>
          <w:rFonts w:hint="eastAsia" w:ascii="宋体" w:cs="宋体"/>
          <w:color w:val="000000"/>
          <w:kern w:val="0"/>
          <w:sz w:val="24"/>
          <w:szCs w:val="24"/>
        </w:rPr>
        <w:t>黄晶</w:t>
      </w:r>
      <w:r>
        <w:rPr>
          <w:color w:val="000000"/>
          <w:kern w:val="0"/>
          <w:sz w:val="24"/>
          <w:szCs w:val="24"/>
        </w:rPr>
        <w:t xml:space="preserve">, </w:t>
      </w:r>
      <w:r>
        <w:rPr>
          <w:rFonts w:hint="eastAsia" w:ascii="宋体" w:cs="宋体"/>
          <w:color w:val="000000"/>
          <w:kern w:val="0"/>
          <w:sz w:val="24"/>
          <w:szCs w:val="24"/>
        </w:rPr>
        <w:t>刘淑军</w:t>
      </w:r>
      <w:r>
        <w:rPr>
          <w:color w:val="000000"/>
          <w:kern w:val="0"/>
          <w:sz w:val="24"/>
          <w:szCs w:val="24"/>
        </w:rPr>
        <w:t xml:space="preserve">, </w:t>
      </w:r>
      <w:r>
        <w:rPr>
          <w:rFonts w:hint="eastAsia" w:ascii="宋体" w:cs="宋体"/>
          <w:color w:val="000000"/>
          <w:kern w:val="0"/>
          <w:sz w:val="24"/>
          <w:szCs w:val="24"/>
        </w:rPr>
        <w:t>张会民</w:t>
      </w:r>
      <w:r>
        <w:rPr>
          <w:color w:val="000000"/>
          <w:kern w:val="0"/>
          <w:sz w:val="24"/>
          <w:szCs w:val="24"/>
        </w:rPr>
        <w:t xml:space="preserve">, </w:t>
      </w:r>
      <w:r>
        <w:rPr>
          <w:rFonts w:hint="eastAsia" w:ascii="宋体" w:cs="宋体"/>
          <w:color w:val="000000"/>
          <w:kern w:val="0"/>
          <w:sz w:val="24"/>
          <w:szCs w:val="24"/>
        </w:rPr>
        <w:t>王晓辉</w:t>
      </w:r>
      <w:r>
        <w:rPr>
          <w:color w:val="000000"/>
          <w:kern w:val="0"/>
          <w:sz w:val="24"/>
          <w:szCs w:val="24"/>
        </w:rPr>
        <w:t xml:space="preserve">, </w:t>
      </w:r>
      <w:r>
        <w:rPr>
          <w:rFonts w:hint="eastAsia" w:ascii="宋体" w:cs="宋体"/>
          <w:color w:val="000000"/>
          <w:kern w:val="0"/>
          <w:sz w:val="24"/>
          <w:szCs w:val="24"/>
        </w:rPr>
        <w:t>高菊生</w:t>
      </w:r>
      <w:r>
        <w:rPr>
          <w:color w:val="000000"/>
          <w:kern w:val="0"/>
          <w:sz w:val="24"/>
          <w:szCs w:val="24"/>
        </w:rPr>
        <w:t xml:space="preserve">, 2016. </w:t>
      </w:r>
      <w:r>
        <w:rPr>
          <w:rFonts w:hint="eastAsia" w:ascii="宋体" w:cs="宋体"/>
          <w:color w:val="000000"/>
          <w:kern w:val="0"/>
          <w:sz w:val="24"/>
          <w:szCs w:val="24"/>
        </w:rPr>
        <w:t>水稻产量对双季稻</w:t>
      </w:r>
      <w:r>
        <w:rPr>
          <w:color w:val="000000"/>
          <w:kern w:val="0"/>
          <w:sz w:val="24"/>
          <w:szCs w:val="24"/>
        </w:rPr>
        <w:t>-</w:t>
      </w:r>
      <w:r>
        <w:rPr>
          <w:rFonts w:hint="eastAsia" w:ascii="宋体" w:cs="宋体"/>
          <w:color w:val="000000"/>
          <w:kern w:val="0"/>
          <w:sz w:val="24"/>
          <w:szCs w:val="24"/>
        </w:rPr>
        <w:t>不同冬绿肥轮作及环境的响应</w:t>
      </w:r>
      <w:r>
        <w:rPr>
          <w:color w:val="000000"/>
          <w:kern w:val="0"/>
          <w:sz w:val="24"/>
          <w:szCs w:val="24"/>
        </w:rPr>
        <w:t xml:space="preserve">. </w:t>
      </w:r>
      <w:r>
        <w:rPr>
          <w:rFonts w:hint="eastAsia" w:ascii="宋体" w:cs="宋体"/>
          <w:color w:val="000000"/>
          <w:kern w:val="0"/>
          <w:sz w:val="24"/>
          <w:szCs w:val="24"/>
        </w:rPr>
        <w:t>生态环境学报</w:t>
      </w:r>
      <w:r>
        <w:rPr>
          <w:color w:val="000000"/>
          <w:kern w:val="0"/>
          <w:sz w:val="24"/>
          <w:szCs w:val="24"/>
        </w:rPr>
        <w:t xml:space="preserve"> 25 (08), 1271-1276. https://10.16258/j.cnki.1674-5906.2016.08.003.</w:t>
      </w:r>
      <w:bookmarkEnd w:id="34"/>
    </w:p>
    <w:p w14:paraId="0DEB0E5A">
      <w:pPr>
        <w:autoSpaceDE w:val="0"/>
        <w:autoSpaceDN w:val="0"/>
        <w:adjustRightInd w:val="0"/>
        <w:spacing w:line="360" w:lineRule="auto"/>
        <w:ind w:left="278" w:hanging="278"/>
        <w:rPr>
          <w:kern w:val="0"/>
          <w:sz w:val="24"/>
          <w:szCs w:val="24"/>
        </w:rPr>
      </w:pPr>
      <w:bookmarkStart w:id="35" w:name="_nebA1295DF5_9ABE_43E3_B99E_68483AA6AAA8"/>
      <w:r>
        <w:rPr>
          <w:rFonts w:hint="eastAsia" w:ascii="宋体" w:cs="宋体"/>
          <w:color w:val="000000"/>
          <w:kern w:val="0"/>
          <w:sz w:val="24"/>
          <w:szCs w:val="24"/>
        </w:rPr>
        <w:t>李忠义</w:t>
      </w:r>
      <w:r>
        <w:rPr>
          <w:color w:val="000000"/>
          <w:kern w:val="0"/>
          <w:sz w:val="24"/>
          <w:szCs w:val="24"/>
        </w:rPr>
        <w:t xml:space="preserve">, </w:t>
      </w:r>
      <w:r>
        <w:rPr>
          <w:rFonts w:hint="eastAsia" w:ascii="宋体" w:cs="宋体"/>
          <w:color w:val="000000"/>
          <w:kern w:val="0"/>
          <w:sz w:val="24"/>
          <w:szCs w:val="24"/>
        </w:rPr>
        <w:t>何铁光</w:t>
      </w:r>
      <w:r>
        <w:rPr>
          <w:color w:val="000000"/>
          <w:kern w:val="0"/>
          <w:sz w:val="24"/>
          <w:szCs w:val="24"/>
        </w:rPr>
        <w:t xml:space="preserve">, </w:t>
      </w:r>
      <w:r>
        <w:rPr>
          <w:rFonts w:hint="eastAsia" w:ascii="宋体" w:cs="宋体"/>
          <w:color w:val="000000"/>
          <w:kern w:val="0"/>
          <w:sz w:val="24"/>
          <w:szCs w:val="24"/>
        </w:rPr>
        <w:t>蒙炎成</w:t>
      </w:r>
      <w:r>
        <w:rPr>
          <w:color w:val="000000"/>
          <w:kern w:val="0"/>
          <w:sz w:val="24"/>
          <w:szCs w:val="24"/>
        </w:rPr>
        <w:t xml:space="preserve">, </w:t>
      </w:r>
      <w:r>
        <w:rPr>
          <w:rFonts w:hint="eastAsia" w:ascii="宋体" w:cs="宋体"/>
          <w:color w:val="000000"/>
          <w:kern w:val="0"/>
          <w:sz w:val="24"/>
          <w:szCs w:val="24"/>
        </w:rPr>
        <w:t>韦彩会</w:t>
      </w:r>
      <w:r>
        <w:rPr>
          <w:color w:val="000000"/>
          <w:kern w:val="0"/>
          <w:sz w:val="24"/>
          <w:szCs w:val="24"/>
        </w:rPr>
        <w:t xml:space="preserve">, </w:t>
      </w:r>
      <w:r>
        <w:rPr>
          <w:rFonts w:hint="eastAsia" w:ascii="宋体" w:cs="宋体"/>
          <w:color w:val="000000"/>
          <w:kern w:val="0"/>
          <w:sz w:val="24"/>
          <w:szCs w:val="24"/>
        </w:rPr>
        <w:t>唐红琴</w:t>
      </w:r>
      <w:r>
        <w:rPr>
          <w:color w:val="000000"/>
          <w:kern w:val="0"/>
          <w:sz w:val="24"/>
          <w:szCs w:val="24"/>
        </w:rPr>
        <w:t xml:space="preserve">, 2018. </w:t>
      </w:r>
      <w:r>
        <w:rPr>
          <w:rFonts w:hint="eastAsia" w:ascii="宋体" w:cs="宋体"/>
          <w:color w:val="000000"/>
          <w:kern w:val="0"/>
          <w:sz w:val="24"/>
          <w:szCs w:val="24"/>
        </w:rPr>
        <w:t>稻田豆科冬季绿肥腐解及养分释放特征研究</w:t>
      </w:r>
      <w:r>
        <w:rPr>
          <w:color w:val="000000"/>
          <w:kern w:val="0"/>
          <w:sz w:val="24"/>
          <w:szCs w:val="24"/>
        </w:rPr>
        <w:t xml:space="preserve">. </w:t>
      </w:r>
      <w:r>
        <w:rPr>
          <w:rFonts w:hint="eastAsia" w:ascii="宋体" w:cs="宋体"/>
          <w:color w:val="000000"/>
          <w:kern w:val="0"/>
          <w:sz w:val="24"/>
          <w:szCs w:val="24"/>
        </w:rPr>
        <w:t>江苏农业科学</w:t>
      </w:r>
      <w:r>
        <w:rPr>
          <w:color w:val="000000"/>
          <w:kern w:val="0"/>
          <w:sz w:val="24"/>
          <w:szCs w:val="24"/>
        </w:rPr>
        <w:t xml:space="preserve"> 46 (13), 241-245. https://10.15889/j.issn.1002-1302.2018.13.056.</w:t>
      </w:r>
      <w:bookmarkEnd w:id="35"/>
    </w:p>
    <w:p w14:paraId="0D925BE7">
      <w:pPr>
        <w:autoSpaceDE w:val="0"/>
        <w:autoSpaceDN w:val="0"/>
        <w:adjustRightInd w:val="0"/>
        <w:spacing w:line="360" w:lineRule="auto"/>
        <w:ind w:left="278" w:hanging="278"/>
        <w:rPr>
          <w:kern w:val="0"/>
          <w:sz w:val="24"/>
          <w:szCs w:val="24"/>
        </w:rPr>
      </w:pPr>
      <w:bookmarkStart w:id="36" w:name="_nebDBE40117_1D66_4E77_8B1C_53B277190E39"/>
      <w:r>
        <w:rPr>
          <w:rFonts w:hint="eastAsia" w:ascii="宋体" w:cs="宋体"/>
          <w:color w:val="000000"/>
          <w:kern w:val="0"/>
          <w:sz w:val="24"/>
          <w:szCs w:val="24"/>
        </w:rPr>
        <w:t>路路</w:t>
      </w:r>
      <w:r>
        <w:rPr>
          <w:color w:val="000000"/>
          <w:kern w:val="0"/>
          <w:sz w:val="24"/>
          <w:szCs w:val="24"/>
        </w:rPr>
        <w:t xml:space="preserve">, </w:t>
      </w:r>
      <w:r>
        <w:rPr>
          <w:rFonts w:hint="eastAsia" w:ascii="宋体" w:cs="宋体"/>
          <w:color w:val="000000"/>
          <w:kern w:val="0"/>
          <w:sz w:val="24"/>
          <w:szCs w:val="24"/>
        </w:rPr>
        <w:t>戴尔阜</w:t>
      </w:r>
      <w:r>
        <w:rPr>
          <w:color w:val="000000"/>
          <w:kern w:val="0"/>
          <w:sz w:val="24"/>
          <w:szCs w:val="24"/>
        </w:rPr>
        <w:t xml:space="preserve">, </w:t>
      </w:r>
      <w:r>
        <w:rPr>
          <w:rFonts w:hint="eastAsia" w:ascii="宋体" w:cs="宋体"/>
          <w:color w:val="000000"/>
          <w:kern w:val="0"/>
          <w:sz w:val="24"/>
          <w:szCs w:val="24"/>
        </w:rPr>
        <w:t>程千钉</w:t>
      </w:r>
      <w:r>
        <w:rPr>
          <w:color w:val="000000"/>
          <w:kern w:val="0"/>
          <w:sz w:val="24"/>
          <w:szCs w:val="24"/>
        </w:rPr>
        <w:t xml:space="preserve">, </w:t>
      </w:r>
      <w:r>
        <w:rPr>
          <w:rFonts w:hint="eastAsia" w:ascii="宋体" w:cs="宋体"/>
          <w:color w:val="000000"/>
          <w:kern w:val="0"/>
          <w:sz w:val="24"/>
          <w:szCs w:val="24"/>
        </w:rPr>
        <w:t>邬真真</w:t>
      </w:r>
      <w:r>
        <w:rPr>
          <w:color w:val="000000"/>
          <w:kern w:val="0"/>
          <w:sz w:val="24"/>
          <w:szCs w:val="24"/>
        </w:rPr>
        <w:t xml:space="preserve">, 2020. </w:t>
      </w:r>
      <w:r>
        <w:rPr>
          <w:rFonts w:hint="eastAsia" w:ascii="宋体" w:cs="宋体"/>
          <w:color w:val="000000"/>
          <w:kern w:val="0"/>
          <w:sz w:val="24"/>
          <w:szCs w:val="24"/>
        </w:rPr>
        <w:t>三江平原水田排水期氮素输出特征研究</w:t>
      </w:r>
      <w:r>
        <w:rPr>
          <w:color w:val="000000"/>
          <w:kern w:val="0"/>
          <w:sz w:val="24"/>
          <w:szCs w:val="24"/>
        </w:rPr>
        <w:t xml:space="preserve">. </w:t>
      </w:r>
      <w:r>
        <w:rPr>
          <w:rFonts w:hint="eastAsia" w:ascii="宋体" w:cs="宋体"/>
          <w:color w:val="000000"/>
          <w:kern w:val="0"/>
          <w:sz w:val="24"/>
          <w:szCs w:val="24"/>
        </w:rPr>
        <w:t>地理研究</w:t>
      </w:r>
      <w:r>
        <w:rPr>
          <w:color w:val="000000"/>
          <w:kern w:val="0"/>
          <w:sz w:val="24"/>
          <w:szCs w:val="24"/>
        </w:rPr>
        <w:t xml:space="preserve"> 39 (02), 473-482.</w:t>
      </w:r>
      <w:bookmarkEnd w:id="36"/>
    </w:p>
    <w:p w14:paraId="42DC7227">
      <w:pPr>
        <w:autoSpaceDE w:val="0"/>
        <w:autoSpaceDN w:val="0"/>
        <w:adjustRightInd w:val="0"/>
        <w:spacing w:line="360" w:lineRule="auto"/>
        <w:ind w:left="278" w:hanging="278"/>
        <w:rPr>
          <w:kern w:val="0"/>
          <w:sz w:val="24"/>
          <w:szCs w:val="24"/>
        </w:rPr>
      </w:pPr>
      <w:bookmarkStart w:id="37" w:name="_nebE7C35424_B25C_48F3_BD47_BFB67A107751"/>
      <w:r>
        <w:rPr>
          <w:rFonts w:hint="eastAsia" w:ascii="宋体" w:cs="宋体"/>
          <w:color w:val="000000"/>
          <w:kern w:val="0"/>
          <w:sz w:val="24"/>
          <w:szCs w:val="24"/>
        </w:rPr>
        <w:t>吕玉虎</w:t>
      </w:r>
      <w:r>
        <w:rPr>
          <w:color w:val="000000"/>
          <w:kern w:val="0"/>
          <w:sz w:val="24"/>
          <w:szCs w:val="24"/>
        </w:rPr>
        <w:t xml:space="preserve">, </w:t>
      </w:r>
      <w:r>
        <w:rPr>
          <w:rFonts w:hint="eastAsia" w:ascii="宋体" w:cs="宋体"/>
          <w:color w:val="000000"/>
          <w:kern w:val="0"/>
          <w:sz w:val="24"/>
          <w:szCs w:val="24"/>
        </w:rPr>
        <w:t>刘春增</w:t>
      </w:r>
      <w:r>
        <w:rPr>
          <w:color w:val="000000"/>
          <w:kern w:val="0"/>
          <w:sz w:val="24"/>
          <w:szCs w:val="24"/>
        </w:rPr>
        <w:t xml:space="preserve">, </w:t>
      </w:r>
      <w:r>
        <w:rPr>
          <w:rFonts w:hint="eastAsia" w:ascii="宋体" w:cs="宋体"/>
          <w:color w:val="000000"/>
          <w:kern w:val="0"/>
          <w:sz w:val="24"/>
          <w:szCs w:val="24"/>
        </w:rPr>
        <w:t>潘兹亮</w:t>
      </w:r>
      <w:r>
        <w:rPr>
          <w:color w:val="000000"/>
          <w:kern w:val="0"/>
          <w:sz w:val="24"/>
          <w:szCs w:val="24"/>
        </w:rPr>
        <w:t xml:space="preserve">, </w:t>
      </w:r>
      <w:r>
        <w:rPr>
          <w:rFonts w:hint="eastAsia" w:ascii="宋体" w:cs="宋体"/>
          <w:color w:val="000000"/>
          <w:kern w:val="0"/>
          <w:sz w:val="24"/>
          <w:szCs w:val="24"/>
        </w:rPr>
        <w:t>李本银</w:t>
      </w:r>
      <w:r>
        <w:rPr>
          <w:color w:val="000000"/>
          <w:kern w:val="0"/>
          <w:sz w:val="24"/>
          <w:szCs w:val="24"/>
        </w:rPr>
        <w:t xml:space="preserve">, </w:t>
      </w:r>
      <w:r>
        <w:rPr>
          <w:rFonts w:hint="eastAsia" w:ascii="宋体" w:cs="宋体"/>
          <w:color w:val="000000"/>
          <w:kern w:val="0"/>
          <w:sz w:val="24"/>
          <w:szCs w:val="24"/>
        </w:rPr>
        <w:t>曹卫东</w:t>
      </w:r>
      <w:r>
        <w:rPr>
          <w:color w:val="000000"/>
          <w:kern w:val="0"/>
          <w:sz w:val="24"/>
          <w:szCs w:val="24"/>
        </w:rPr>
        <w:t xml:space="preserve">, 2013. </w:t>
      </w:r>
      <w:r>
        <w:rPr>
          <w:rFonts w:hint="eastAsia" w:ascii="宋体" w:cs="宋体"/>
          <w:color w:val="000000"/>
          <w:kern w:val="0"/>
          <w:sz w:val="24"/>
          <w:szCs w:val="24"/>
        </w:rPr>
        <w:t>紫云英不同翻压时期对土壤养分和水稻产量的影响</w:t>
      </w:r>
      <w:r>
        <w:rPr>
          <w:color w:val="000000"/>
          <w:kern w:val="0"/>
          <w:sz w:val="24"/>
          <w:szCs w:val="24"/>
        </w:rPr>
        <w:t xml:space="preserve">. </w:t>
      </w:r>
      <w:r>
        <w:rPr>
          <w:rFonts w:hint="eastAsia" w:ascii="宋体" w:cs="宋体"/>
          <w:color w:val="000000"/>
          <w:kern w:val="0"/>
          <w:sz w:val="24"/>
          <w:szCs w:val="24"/>
        </w:rPr>
        <w:t>中国土壤与肥料</w:t>
      </w:r>
      <w:r>
        <w:rPr>
          <w:color w:val="000000"/>
          <w:kern w:val="0"/>
          <w:sz w:val="24"/>
          <w:szCs w:val="24"/>
        </w:rPr>
        <w:t>(01), 85-87.</w:t>
      </w:r>
      <w:bookmarkEnd w:id="37"/>
    </w:p>
    <w:p w14:paraId="1E1415B7">
      <w:pPr>
        <w:autoSpaceDE w:val="0"/>
        <w:autoSpaceDN w:val="0"/>
        <w:adjustRightInd w:val="0"/>
        <w:spacing w:line="360" w:lineRule="auto"/>
        <w:ind w:left="278" w:hanging="278"/>
        <w:rPr>
          <w:kern w:val="0"/>
          <w:sz w:val="24"/>
          <w:szCs w:val="24"/>
        </w:rPr>
      </w:pPr>
      <w:bookmarkStart w:id="38" w:name="_neb2AB3D57D_7639_41F4_B722_9C6CF393500A"/>
      <w:r>
        <w:rPr>
          <w:rFonts w:hint="eastAsia" w:ascii="宋体" w:cs="宋体"/>
          <w:color w:val="000000"/>
          <w:kern w:val="0"/>
          <w:sz w:val="24"/>
          <w:szCs w:val="24"/>
        </w:rPr>
        <w:t>王强</w:t>
      </w:r>
      <w:r>
        <w:rPr>
          <w:color w:val="000000"/>
          <w:kern w:val="0"/>
          <w:sz w:val="24"/>
          <w:szCs w:val="24"/>
        </w:rPr>
        <w:t xml:space="preserve">, </w:t>
      </w:r>
      <w:r>
        <w:rPr>
          <w:rFonts w:hint="eastAsia" w:ascii="宋体" w:cs="宋体"/>
          <w:color w:val="000000"/>
          <w:kern w:val="0"/>
          <w:sz w:val="24"/>
          <w:szCs w:val="24"/>
        </w:rPr>
        <w:t>姜丽娜</w:t>
      </w:r>
      <w:r>
        <w:rPr>
          <w:color w:val="000000"/>
          <w:kern w:val="0"/>
          <w:sz w:val="24"/>
          <w:szCs w:val="24"/>
        </w:rPr>
        <w:t xml:space="preserve">, </w:t>
      </w:r>
      <w:r>
        <w:rPr>
          <w:rFonts w:hint="eastAsia" w:ascii="宋体" w:cs="宋体"/>
          <w:color w:val="000000"/>
          <w:kern w:val="0"/>
          <w:sz w:val="24"/>
          <w:szCs w:val="24"/>
        </w:rPr>
        <w:t>潘建清</w:t>
      </w:r>
      <w:r>
        <w:rPr>
          <w:color w:val="000000"/>
          <w:kern w:val="0"/>
          <w:sz w:val="24"/>
          <w:szCs w:val="24"/>
        </w:rPr>
        <w:t xml:space="preserve">, </w:t>
      </w:r>
      <w:r>
        <w:rPr>
          <w:rFonts w:hint="eastAsia" w:ascii="宋体" w:cs="宋体"/>
          <w:color w:val="000000"/>
          <w:kern w:val="0"/>
          <w:sz w:val="24"/>
          <w:szCs w:val="24"/>
        </w:rPr>
        <w:t>符建荣</w:t>
      </w:r>
      <w:r>
        <w:rPr>
          <w:color w:val="000000"/>
          <w:kern w:val="0"/>
          <w:sz w:val="24"/>
          <w:szCs w:val="24"/>
        </w:rPr>
        <w:t xml:space="preserve">, </w:t>
      </w:r>
      <w:r>
        <w:rPr>
          <w:rFonts w:hint="eastAsia" w:ascii="宋体" w:cs="宋体"/>
          <w:color w:val="000000"/>
          <w:kern w:val="0"/>
          <w:sz w:val="24"/>
          <w:szCs w:val="24"/>
        </w:rPr>
        <w:t>马军伟</w:t>
      </w:r>
      <w:r>
        <w:rPr>
          <w:color w:val="000000"/>
          <w:kern w:val="0"/>
          <w:sz w:val="24"/>
          <w:szCs w:val="24"/>
        </w:rPr>
        <w:t xml:space="preserve">, </w:t>
      </w:r>
      <w:r>
        <w:rPr>
          <w:rFonts w:hint="eastAsia" w:ascii="宋体" w:cs="宋体"/>
          <w:color w:val="000000"/>
          <w:kern w:val="0"/>
          <w:sz w:val="24"/>
          <w:szCs w:val="24"/>
        </w:rPr>
        <w:t>叶静</w:t>
      </w:r>
      <w:r>
        <w:rPr>
          <w:color w:val="000000"/>
          <w:kern w:val="0"/>
          <w:sz w:val="24"/>
          <w:szCs w:val="24"/>
        </w:rPr>
        <w:t xml:space="preserve">, </w:t>
      </w:r>
      <w:r>
        <w:rPr>
          <w:rFonts w:hint="eastAsia" w:ascii="宋体" w:cs="宋体"/>
          <w:color w:val="000000"/>
          <w:kern w:val="0"/>
          <w:sz w:val="24"/>
          <w:szCs w:val="24"/>
        </w:rPr>
        <w:t>俞巧钢</w:t>
      </w:r>
      <w:r>
        <w:rPr>
          <w:color w:val="000000"/>
          <w:kern w:val="0"/>
          <w:sz w:val="24"/>
          <w:szCs w:val="24"/>
        </w:rPr>
        <w:t xml:space="preserve">, </w:t>
      </w:r>
      <w:r>
        <w:rPr>
          <w:rFonts w:hint="eastAsia" w:ascii="宋体" w:cs="宋体"/>
          <w:color w:val="000000"/>
          <w:kern w:val="0"/>
          <w:sz w:val="24"/>
          <w:szCs w:val="24"/>
        </w:rPr>
        <w:t>孙万春</w:t>
      </w:r>
      <w:r>
        <w:rPr>
          <w:color w:val="000000"/>
          <w:kern w:val="0"/>
          <w:sz w:val="24"/>
          <w:szCs w:val="24"/>
        </w:rPr>
        <w:t xml:space="preserve">, </w:t>
      </w:r>
      <w:r>
        <w:rPr>
          <w:rFonts w:hint="eastAsia" w:ascii="宋体" w:cs="宋体"/>
          <w:color w:val="000000"/>
          <w:kern w:val="0"/>
          <w:sz w:val="24"/>
          <w:szCs w:val="24"/>
        </w:rPr>
        <w:t>邹平</w:t>
      </w:r>
      <w:r>
        <w:rPr>
          <w:color w:val="000000"/>
          <w:kern w:val="0"/>
          <w:sz w:val="24"/>
          <w:szCs w:val="24"/>
        </w:rPr>
        <w:t xml:space="preserve">, </w:t>
      </w:r>
      <w:r>
        <w:rPr>
          <w:rFonts w:hint="eastAsia" w:ascii="宋体" w:cs="宋体"/>
          <w:color w:val="000000"/>
          <w:kern w:val="0"/>
          <w:sz w:val="24"/>
          <w:szCs w:val="24"/>
        </w:rPr>
        <w:t>林辉</w:t>
      </w:r>
      <w:r>
        <w:rPr>
          <w:color w:val="000000"/>
          <w:kern w:val="0"/>
          <w:sz w:val="24"/>
          <w:szCs w:val="24"/>
        </w:rPr>
        <w:t xml:space="preserve">, 2018. </w:t>
      </w:r>
      <w:r>
        <w:rPr>
          <w:rFonts w:hint="eastAsia" w:ascii="宋体" w:cs="宋体"/>
          <w:color w:val="000000"/>
          <w:kern w:val="0"/>
          <w:sz w:val="24"/>
          <w:szCs w:val="24"/>
        </w:rPr>
        <w:t>长江下游单季稻一次性施肥的适宜缓释氮肥筛选</w:t>
      </w:r>
      <w:r>
        <w:rPr>
          <w:color w:val="000000"/>
          <w:kern w:val="0"/>
          <w:sz w:val="24"/>
          <w:szCs w:val="24"/>
        </w:rPr>
        <w:t xml:space="preserve">. </w:t>
      </w:r>
      <w:r>
        <w:rPr>
          <w:rFonts w:hint="eastAsia" w:ascii="宋体" w:cs="宋体"/>
          <w:color w:val="000000"/>
          <w:kern w:val="0"/>
          <w:sz w:val="24"/>
          <w:szCs w:val="24"/>
        </w:rPr>
        <w:t>中国土壤与肥料</w:t>
      </w:r>
      <w:r>
        <w:rPr>
          <w:color w:val="000000"/>
          <w:kern w:val="0"/>
          <w:sz w:val="24"/>
          <w:szCs w:val="24"/>
        </w:rPr>
        <w:t>(03), 48-53.</w:t>
      </w:r>
      <w:bookmarkEnd w:id="38"/>
    </w:p>
    <w:p w14:paraId="0391D544">
      <w:pPr>
        <w:autoSpaceDE w:val="0"/>
        <w:autoSpaceDN w:val="0"/>
        <w:adjustRightInd w:val="0"/>
        <w:spacing w:line="360" w:lineRule="auto"/>
        <w:ind w:left="278" w:hanging="278"/>
        <w:rPr>
          <w:kern w:val="0"/>
          <w:sz w:val="24"/>
          <w:szCs w:val="24"/>
        </w:rPr>
      </w:pPr>
      <w:bookmarkStart w:id="39" w:name="_neb7F4DA91D_9FD9_40F1_B867_ED460CF0266D"/>
      <w:r>
        <w:rPr>
          <w:rFonts w:hint="eastAsia" w:ascii="宋体" w:cs="宋体"/>
          <w:color w:val="000000"/>
          <w:kern w:val="0"/>
          <w:sz w:val="24"/>
          <w:szCs w:val="24"/>
        </w:rPr>
        <w:t>杨滨娟</w:t>
      </w:r>
      <w:r>
        <w:rPr>
          <w:color w:val="000000"/>
          <w:kern w:val="0"/>
          <w:sz w:val="24"/>
          <w:szCs w:val="24"/>
        </w:rPr>
        <w:t xml:space="preserve">, </w:t>
      </w:r>
      <w:r>
        <w:rPr>
          <w:rFonts w:hint="eastAsia" w:ascii="宋体" w:cs="宋体"/>
          <w:color w:val="000000"/>
          <w:kern w:val="0"/>
          <w:sz w:val="24"/>
          <w:szCs w:val="24"/>
        </w:rPr>
        <w:t>黄国勤</w:t>
      </w:r>
      <w:r>
        <w:rPr>
          <w:color w:val="000000"/>
          <w:kern w:val="0"/>
          <w:sz w:val="24"/>
          <w:szCs w:val="24"/>
        </w:rPr>
        <w:t xml:space="preserve">, 2018. </w:t>
      </w:r>
      <w:r>
        <w:rPr>
          <w:rFonts w:hint="eastAsia" w:ascii="宋体" w:cs="宋体"/>
          <w:color w:val="000000"/>
          <w:kern w:val="0"/>
          <w:sz w:val="24"/>
          <w:szCs w:val="24"/>
        </w:rPr>
        <w:t>双季稻田冬种紫云英</w:t>
      </w:r>
      <w:r>
        <w:rPr>
          <w:color w:val="000000"/>
          <w:kern w:val="0"/>
          <w:sz w:val="24"/>
          <w:szCs w:val="24"/>
        </w:rPr>
        <w:t>“</w:t>
      </w:r>
      <w:r>
        <w:rPr>
          <w:rFonts w:hint="eastAsia" w:ascii="宋体" w:cs="宋体"/>
          <w:color w:val="000000"/>
          <w:kern w:val="0"/>
          <w:sz w:val="24"/>
          <w:szCs w:val="24"/>
        </w:rPr>
        <w:t>双减双增</w:t>
      </w:r>
      <w:r>
        <w:rPr>
          <w:color w:val="000000"/>
          <w:kern w:val="0"/>
          <w:sz w:val="24"/>
          <w:szCs w:val="24"/>
        </w:rPr>
        <w:t>”</w:t>
      </w:r>
      <w:r>
        <w:rPr>
          <w:rFonts w:hint="eastAsia" w:ascii="宋体" w:cs="宋体"/>
          <w:color w:val="000000"/>
          <w:kern w:val="0"/>
          <w:sz w:val="24"/>
          <w:szCs w:val="24"/>
        </w:rPr>
        <w:t>绿色高效循环农业模式</w:t>
      </w:r>
      <w:r>
        <w:rPr>
          <w:color w:val="000000"/>
          <w:kern w:val="0"/>
          <w:sz w:val="24"/>
          <w:szCs w:val="24"/>
        </w:rPr>
        <w:t xml:space="preserve">. </w:t>
      </w:r>
      <w:r>
        <w:rPr>
          <w:rFonts w:hint="eastAsia" w:ascii="宋体" w:cs="宋体"/>
          <w:color w:val="000000"/>
          <w:kern w:val="0"/>
          <w:sz w:val="24"/>
          <w:szCs w:val="24"/>
        </w:rPr>
        <w:t>江苏农业科学</w:t>
      </w:r>
      <w:r>
        <w:rPr>
          <w:color w:val="000000"/>
          <w:kern w:val="0"/>
          <w:sz w:val="24"/>
          <w:szCs w:val="24"/>
        </w:rPr>
        <w:t xml:space="preserve"> 46 (16), 51-56. https://10.15889/j.issn.1002-1302.2018.16.012.</w:t>
      </w:r>
      <w:bookmarkEnd w:id="39"/>
    </w:p>
    <w:p w14:paraId="0CAF45A2">
      <w:pPr>
        <w:autoSpaceDE w:val="0"/>
        <w:autoSpaceDN w:val="0"/>
        <w:adjustRightInd w:val="0"/>
        <w:spacing w:line="360" w:lineRule="auto"/>
        <w:ind w:left="278" w:hanging="278"/>
        <w:rPr>
          <w:kern w:val="0"/>
          <w:sz w:val="24"/>
          <w:szCs w:val="24"/>
        </w:rPr>
      </w:pPr>
      <w:bookmarkStart w:id="40" w:name="_neb0FAE2379_2246_4CE3_B134_E740F6557FE1"/>
      <w:r>
        <w:rPr>
          <w:rFonts w:hint="eastAsia" w:ascii="宋体" w:cs="宋体"/>
          <w:color w:val="000000"/>
          <w:kern w:val="0"/>
          <w:sz w:val="24"/>
          <w:szCs w:val="24"/>
        </w:rPr>
        <w:t>周国朋</w:t>
      </w:r>
      <w:r>
        <w:rPr>
          <w:color w:val="000000"/>
          <w:kern w:val="0"/>
          <w:sz w:val="24"/>
          <w:szCs w:val="24"/>
        </w:rPr>
        <w:t xml:space="preserve">, </w:t>
      </w:r>
      <w:r>
        <w:rPr>
          <w:rFonts w:hint="eastAsia" w:ascii="宋体" w:cs="宋体"/>
          <w:color w:val="000000"/>
          <w:kern w:val="0"/>
          <w:sz w:val="24"/>
          <w:szCs w:val="24"/>
        </w:rPr>
        <w:t>谢志坚</w:t>
      </w:r>
      <w:r>
        <w:rPr>
          <w:color w:val="000000"/>
          <w:kern w:val="0"/>
          <w:sz w:val="24"/>
          <w:szCs w:val="24"/>
        </w:rPr>
        <w:t xml:space="preserve">, </w:t>
      </w:r>
      <w:r>
        <w:rPr>
          <w:rFonts w:hint="eastAsia" w:ascii="宋体" w:cs="宋体"/>
          <w:color w:val="000000"/>
          <w:kern w:val="0"/>
          <w:sz w:val="24"/>
          <w:szCs w:val="24"/>
        </w:rPr>
        <w:t>曹卫东</w:t>
      </w:r>
      <w:r>
        <w:rPr>
          <w:color w:val="000000"/>
          <w:kern w:val="0"/>
          <w:sz w:val="24"/>
          <w:szCs w:val="24"/>
        </w:rPr>
        <w:t xml:space="preserve">, </w:t>
      </w:r>
      <w:r>
        <w:rPr>
          <w:rFonts w:hint="eastAsia" w:ascii="宋体" w:cs="宋体"/>
          <w:color w:val="000000"/>
          <w:kern w:val="0"/>
          <w:sz w:val="24"/>
          <w:szCs w:val="24"/>
        </w:rPr>
        <w:t>徐昌旭</w:t>
      </w:r>
      <w:r>
        <w:rPr>
          <w:color w:val="000000"/>
          <w:kern w:val="0"/>
          <w:sz w:val="24"/>
          <w:szCs w:val="24"/>
        </w:rPr>
        <w:t xml:space="preserve">, </w:t>
      </w:r>
      <w:r>
        <w:rPr>
          <w:rFonts w:hint="eastAsia" w:ascii="宋体" w:cs="宋体"/>
          <w:color w:val="000000"/>
          <w:kern w:val="0"/>
          <w:sz w:val="24"/>
          <w:szCs w:val="24"/>
        </w:rPr>
        <w:t>白金顺</w:t>
      </w:r>
      <w:r>
        <w:rPr>
          <w:color w:val="000000"/>
          <w:kern w:val="0"/>
          <w:sz w:val="24"/>
          <w:szCs w:val="24"/>
        </w:rPr>
        <w:t xml:space="preserve">, </w:t>
      </w:r>
      <w:r>
        <w:rPr>
          <w:rFonts w:hint="eastAsia" w:ascii="宋体" w:cs="宋体"/>
          <w:color w:val="000000"/>
          <w:kern w:val="0"/>
          <w:sz w:val="24"/>
          <w:szCs w:val="24"/>
        </w:rPr>
        <w:t>曾闹华</w:t>
      </w:r>
      <w:r>
        <w:rPr>
          <w:color w:val="000000"/>
          <w:kern w:val="0"/>
          <w:sz w:val="24"/>
          <w:szCs w:val="24"/>
        </w:rPr>
        <w:t xml:space="preserve">, </w:t>
      </w:r>
      <w:r>
        <w:rPr>
          <w:rFonts w:hint="eastAsia" w:ascii="宋体" w:cs="宋体"/>
          <w:color w:val="000000"/>
          <w:kern w:val="0"/>
          <w:sz w:val="24"/>
          <w:szCs w:val="24"/>
        </w:rPr>
        <w:t>高嵩涓</w:t>
      </w:r>
      <w:r>
        <w:rPr>
          <w:color w:val="000000"/>
          <w:kern w:val="0"/>
          <w:sz w:val="24"/>
          <w:szCs w:val="24"/>
        </w:rPr>
        <w:t xml:space="preserve">, </w:t>
      </w:r>
      <w:r>
        <w:rPr>
          <w:rFonts w:hint="eastAsia" w:ascii="宋体" w:cs="宋体"/>
          <w:color w:val="000000"/>
          <w:kern w:val="0"/>
          <w:sz w:val="24"/>
          <w:szCs w:val="24"/>
        </w:rPr>
        <w:t>杨璐</w:t>
      </w:r>
      <w:r>
        <w:rPr>
          <w:color w:val="000000"/>
          <w:kern w:val="0"/>
          <w:sz w:val="24"/>
          <w:szCs w:val="24"/>
        </w:rPr>
        <w:t xml:space="preserve">, 2017. </w:t>
      </w:r>
      <w:r>
        <w:rPr>
          <w:rFonts w:hint="eastAsia" w:ascii="宋体" w:cs="宋体"/>
          <w:color w:val="000000"/>
          <w:kern w:val="0"/>
          <w:sz w:val="24"/>
          <w:szCs w:val="24"/>
        </w:rPr>
        <w:t>稻草高茬</w:t>
      </w:r>
      <w:r>
        <w:rPr>
          <w:color w:val="000000"/>
          <w:kern w:val="0"/>
          <w:sz w:val="24"/>
          <w:szCs w:val="24"/>
        </w:rPr>
        <w:t>-</w:t>
      </w:r>
      <w:r>
        <w:rPr>
          <w:rFonts w:hint="eastAsia" w:ascii="宋体" w:cs="宋体"/>
          <w:color w:val="000000"/>
          <w:kern w:val="0"/>
          <w:sz w:val="24"/>
          <w:szCs w:val="24"/>
        </w:rPr>
        <w:t>紫云英联合还田改善土壤肥力提高作物产量</w:t>
      </w:r>
      <w:r>
        <w:rPr>
          <w:color w:val="000000"/>
          <w:kern w:val="0"/>
          <w:sz w:val="24"/>
          <w:szCs w:val="24"/>
        </w:rPr>
        <w:t xml:space="preserve">. </w:t>
      </w:r>
      <w:r>
        <w:rPr>
          <w:rFonts w:hint="eastAsia" w:ascii="宋体" w:cs="宋体"/>
          <w:color w:val="000000"/>
          <w:kern w:val="0"/>
          <w:sz w:val="24"/>
          <w:szCs w:val="24"/>
        </w:rPr>
        <w:t>农业工程学报</w:t>
      </w:r>
      <w:r>
        <w:rPr>
          <w:color w:val="000000"/>
          <w:kern w:val="0"/>
          <w:sz w:val="24"/>
          <w:szCs w:val="24"/>
        </w:rPr>
        <w:t xml:space="preserve"> 33 (23), 157-163.</w:t>
      </w:r>
      <w:bookmarkEnd w:id="40"/>
    </w:p>
    <w:p w14:paraId="3B0F069C">
      <w:pPr>
        <w:autoSpaceDE w:val="0"/>
        <w:autoSpaceDN w:val="0"/>
        <w:adjustRightInd w:val="0"/>
        <w:spacing w:line="360" w:lineRule="auto"/>
        <w:ind w:left="278" w:hanging="278"/>
        <w:rPr>
          <w:kern w:val="0"/>
          <w:sz w:val="24"/>
          <w:szCs w:val="24"/>
        </w:rPr>
      </w:pPr>
      <w:bookmarkStart w:id="41" w:name="_nebF68751E8_465F_44A8_8C33_1A86AB762CC1"/>
      <w:r>
        <w:rPr>
          <w:rFonts w:hint="eastAsia" w:ascii="宋体" w:cs="宋体"/>
          <w:color w:val="000000"/>
          <w:kern w:val="0"/>
          <w:sz w:val="24"/>
          <w:szCs w:val="24"/>
        </w:rPr>
        <w:t>庄德续</w:t>
      </w:r>
      <w:r>
        <w:rPr>
          <w:color w:val="000000"/>
          <w:kern w:val="0"/>
          <w:sz w:val="24"/>
          <w:szCs w:val="24"/>
        </w:rPr>
        <w:t xml:space="preserve">, </w:t>
      </w:r>
      <w:r>
        <w:rPr>
          <w:rFonts w:hint="eastAsia" w:ascii="宋体" w:cs="宋体"/>
          <w:color w:val="000000"/>
          <w:kern w:val="0"/>
          <w:sz w:val="24"/>
          <w:szCs w:val="24"/>
        </w:rPr>
        <w:t>司振江</w:t>
      </w:r>
      <w:r>
        <w:rPr>
          <w:color w:val="000000"/>
          <w:kern w:val="0"/>
          <w:sz w:val="24"/>
          <w:szCs w:val="24"/>
        </w:rPr>
        <w:t xml:space="preserve">, </w:t>
      </w:r>
      <w:r>
        <w:rPr>
          <w:rFonts w:hint="eastAsia" w:ascii="宋体" w:cs="宋体"/>
          <w:color w:val="000000"/>
          <w:kern w:val="0"/>
          <w:sz w:val="24"/>
          <w:szCs w:val="24"/>
        </w:rPr>
        <w:t>李芳花</w:t>
      </w:r>
      <w:r>
        <w:rPr>
          <w:color w:val="000000"/>
          <w:kern w:val="0"/>
          <w:sz w:val="24"/>
          <w:szCs w:val="24"/>
        </w:rPr>
        <w:t xml:space="preserve">, 2014. </w:t>
      </w:r>
      <w:r>
        <w:rPr>
          <w:rFonts w:hint="eastAsia" w:ascii="宋体" w:cs="宋体"/>
          <w:color w:val="000000"/>
          <w:kern w:val="0"/>
          <w:sz w:val="24"/>
          <w:szCs w:val="24"/>
        </w:rPr>
        <w:t>不同灌溉模式水稻需水规律研究</w:t>
      </w:r>
      <w:r>
        <w:rPr>
          <w:color w:val="000000"/>
          <w:kern w:val="0"/>
          <w:sz w:val="24"/>
          <w:szCs w:val="24"/>
        </w:rPr>
        <w:t xml:space="preserve">. </w:t>
      </w:r>
      <w:r>
        <w:rPr>
          <w:rFonts w:hint="eastAsia" w:ascii="宋体" w:cs="宋体"/>
          <w:color w:val="000000"/>
          <w:kern w:val="0"/>
          <w:sz w:val="24"/>
          <w:szCs w:val="24"/>
        </w:rPr>
        <w:t>节水灌溉</w:t>
      </w:r>
      <w:r>
        <w:rPr>
          <w:color w:val="000000"/>
          <w:kern w:val="0"/>
          <w:sz w:val="24"/>
          <w:szCs w:val="24"/>
        </w:rPr>
        <w:t>(08), 1-3.</w:t>
      </w:r>
      <w:bookmarkEnd w:id="41"/>
    </w:p>
    <w:p w14:paraId="4A7D4F56">
      <w:pPr>
        <w:spacing w:line="360" w:lineRule="auto"/>
        <w:ind w:left="424" w:leftChars="1" w:hanging="422" w:hangingChars="176"/>
        <w:rPr>
          <w:snapToGrid w:val="0"/>
          <w:color w:val="000000"/>
          <w:kern w:val="0"/>
          <w:sz w:val="24"/>
          <w:szCs w:val="24"/>
        </w:rPr>
      </w:pPr>
    </w:p>
    <w:sectPr>
      <w:headerReference r:id="rId3" w:type="default"/>
      <w:footerReference r:id="rId4" w:type="default"/>
      <w:pgSz w:w="11906" w:h="16838"/>
      <w:pgMar w:top="1440" w:right="1800" w:bottom="1440" w:left="1800" w:header="851" w:footer="992" w:gutter="0"/>
      <w:pgNumType w:fmt="numberInDash"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C9801">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131445"/>
              <wp:effectExtent l="0" t="0" r="1270" b="3175"/>
              <wp:wrapNone/>
              <wp:docPr id="517049786"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14:paraId="1C35679B">
                          <w:pPr>
                            <w:pStyle w:val="11"/>
                          </w:pPr>
                          <w:r>
                            <w:fldChar w:fldCharType="begin"/>
                          </w:r>
                          <w:r>
                            <w:instrText xml:space="preserve"> PAGE  \* MERGEFORMAT </w:instrText>
                          </w:r>
                          <w:r>
                            <w:fldChar w:fldCharType="separate"/>
                          </w:r>
                          <w:r>
                            <w:t>- 6 -</w:t>
                          </w:r>
                          <w:r>
                            <w:fldChar w:fldCharType="end"/>
                          </w:r>
                        </w:p>
                      </w:txbxContent>
                    </wps:txbx>
                    <wps:bodyPr rot="0" vert="horz" wrap="none" lIns="0" tIns="0" rIns="0" bIns="0" anchor="t" anchorCtr="0" upright="1">
                      <a:spAutoFit/>
                    </wps:bodyPr>
                  </wps:wsp>
                </a:graphicData>
              </a:graphic>
            </wp:anchor>
          </w:drawing>
        </mc:Choice>
        <mc:Fallback>
          <w:pict>
            <v:shape id="文本框 1037" o:spid="_x0000_s1026" o:spt="202" type="#_x0000_t202" style="position:absolute;left:0pt;margin-top:0pt;height:10.35pt;width:15pt;mso-position-horizontal:center;mso-position-horizontal-relative:margin;mso-wrap-style:none;z-index:251659264;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pFLs0AAAAAMBAAAPAAAAAAAAAAEAIAAA&#10;ACIAAABkcnMvZG93bnJldi54bWxQSwECFAAUAAAACACHTuJArvpUNRQCAAANBAAADgAAAAAAAAAB&#10;ACAAAAAfAQAAZHJzL2Uyb0RvYy54bWxQSwUGAAAAAAYABgBZAQAApQUAAAAA&#10;">
              <v:fill on="f" focussize="0,0"/>
              <v:stroke on="f"/>
              <v:imagedata o:title=""/>
              <o:lock v:ext="edit" aspectratio="f"/>
              <v:textbox inset="0mm,0mm,0mm,0mm" style="mso-fit-shape-to-text:t;">
                <w:txbxContent>
                  <w:p w14:paraId="1C35679B">
                    <w:pPr>
                      <w:pStyle w:val="11"/>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BA8A7">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27"/>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2ZDcwMGM1NjhkNTZlNTg2OWViMmFmNjQ5YzQ4NzAifQ=="/>
    <w:docVar w:name="NE.Ref{05E0CE35-06FA-47CD-ADBE-C4480BFC7184}" w:val=" ADDIN NE.Ref.{05E0CE35-06FA-47CD-ADBE-C4480BFC7184}&lt;Citation&gt;&lt;Group&gt;&lt;References&gt;&lt;Item&gt;&lt;ID&gt;1116&lt;/ID&gt;&lt;UID&gt;{4D6999EB-6F8E-49A4-9857-E0D13495E6C3}&lt;/UID&gt;&lt;Title&gt;Experimental comparison of continuous and intermittent flooding of rice in relation to methane, nitrous oxide and ammonia emissions and the implications for nitrogen use efficiency and yield&lt;/Title&gt;&lt;Template&gt;Journal Article&lt;/Template&gt;&lt;Star&gt;0&lt;/Star&gt;&lt;Tag&gt;0&lt;/Tag&gt;&lt;Author&gt;Cowan, Nicholas; Bhatia, Arti; Drewer, Julia; Jain, Niveta; Singh, Renu; Tomer, Ritu; Kumar, Vinod; Kumar, Om; Prasanna, Radha; Ramakrishnan, Bala; Kumar, Dinesh; Bandyopadhyay, Sanjoy K; Sutton, Mark; Pathak, Himanshu&lt;/Author&gt;&lt;Year&gt;2021&lt;/Year&gt;&lt;Details&gt;&lt;_doi&gt;10.1016/j.agee.2021.107571&lt;/_doi&gt;&lt;_created&gt;65797375&lt;/_created&gt;&lt;_modified&gt;65797377&lt;/_modified&gt;&lt;_url&gt;https://linkinghub.elsevier.com/retrieve/pii/S0167880921002759_x000d__x000a_https://api.elsevier.com/content/article/PII:S0167880921002759?httpAccept=text/xml&lt;/_url&gt;&lt;_journal&gt;Agriculture, Ecosystems &amp;amp; Environment&lt;/_journal&gt;&lt;_volume&gt;319&lt;/_volume&gt;&lt;_pages&gt;107571&lt;/_pages&gt;&lt;_tertiary_title&gt;Agriculture, Ecosystems &amp;amp; Environment&lt;/_tertiary_title&gt;&lt;_isbn&gt;01678809&lt;/_isbn&gt;&lt;_accessed&gt;65797377&lt;/_accessed&gt;&lt;_db_updated&gt;CrossRef&lt;/_db_updated&gt;&lt;_impact_factor&gt;   6.000&lt;/_impact_factor&gt;&lt;/Details&gt;&lt;Extra&gt;&lt;DBUID&gt;{03752FAB-B361-4F66-989B-C711D9502F78}&lt;/DBUID&gt;&lt;/Extra&gt;&lt;/Item&gt;&lt;/References&gt;&lt;/Group&gt;&lt;/Citation&gt;_x000a_"/>
    <w:docVar w:name="NE.Ref{46F90D8F-8EBA-42DD-AFAE-5F986AD9E0DB}" w:val=" ADDIN NE.Ref.{46F90D8F-8EBA-42DD-AFAE-5F986AD9E0DB}&lt;Citation&gt;&lt;Group&gt;&lt;References&gt;&lt;Item&gt;&lt;ID&gt;1110&lt;/ID&gt;&lt;UID&gt;{5FD99C69-5348-43A6-91AA-0F80415CA4E4}&lt;/UID&gt;&lt;Title&gt;绿肥和稻草联合还田提高土壤有机质含量并稳定氮素供应&lt;/Title&gt;&lt;Template&gt;Journal Article&lt;/Template&gt;&lt;Star&gt;0&lt;/Star&gt;&lt;Tag&gt;0&lt;/Tag&gt;&lt;Author&gt;高菊生; 黄晶; 杨志长; 曹卫东; 张会民; 高鹏; 高学成&lt;/Author&gt;&lt;Year&gt;2020&lt;/Year&gt;&lt;Details&gt;&lt;_author_adr&gt;中国农业科学院农业资源与农业区划研究所/农业农村部植物营养与肥料重点实验室;中国农业科学院衡阳红壤试验站/祁阳农田生态系统国家野外试验站;湖南省农业科学院;&lt;/_author_adr&gt;&lt;_cited_count&gt;71&lt;/_cited_count&gt;&lt;_db_provider&gt;CNKI&lt;/_db_provider&gt;&lt;_isbn&gt;1008-505X&lt;/_isbn&gt;&lt;_issue&gt;03&lt;/_issue&gt;&lt;_journal&gt;植物营养与肥料学报&lt;/_journal&gt;&lt;_keywords&gt;绿肥;稻草;产量;土壤肥力;水稳性团聚体&lt;/_keywords&gt;&lt;_pages&gt;472-480&lt;/_pages&gt;&lt;_url&gt;https://kns.cnki.net/kcms2/article/abstract?v=e9e-pYHXmfeCr7RCt3qEwtqnwwrndSnpz8_Ftye6-UTJ2tXrgoDOVnOZh9_3ykgnWd1Q7vRJ4mIbBx2pR8_fXUE-hQSdrpYBCpHYbfNT5o0u3huTutOl8zBoxbP8_23W3x1Z1QCDZggdWUL8k5WYAmKxGJ-5-SVaEKQIPYtZ9edHD8XY6xxHg_yaDVUpgXyNDxy4MV2f9OE=&amp;amp;uniplatform=NZKPT&amp;amp;language=CHS&lt;/_url&gt;&lt;_volume&gt;26&lt;/_volume&gt;&lt;_created&gt;65797355&lt;/_created&gt;&lt;_modified&gt;65797355&lt;/_modified&gt;&lt;_db_updated&gt;CNKI - Reference&lt;/_db_updated&gt;&lt;_collection_scope&gt;PKU;CSCD&lt;/_collection_scope&gt;&lt;_translated_author&gt;Gao, Ju sheng;Huang, Jing;Yang, Zhi zhang;Cao, Wei dong;Zhang, Hui min;Gao, Peng;Gao, Xue cheng&lt;/_translated_author&gt;&lt;_language&gt;Chinese&lt;/_language&gt;&lt;/Details&gt;&lt;Extra&gt;&lt;DBUID&gt;{03752FAB-B361-4F66-989B-C711D9502F78}&lt;/DBUID&gt;&lt;/Extra&gt;&lt;/Item&gt;&lt;/References&gt;&lt;/Group&gt;&lt;Group&gt;&lt;References&gt;&lt;Item&gt;&lt;ID&gt;1109&lt;/ID&gt;&lt;UID&gt;{0FAE2379-2246-4CE3-B134-E740F6557FE1}&lt;/UID&gt;&lt;Title&gt;稻草高茬-紫云英联合还田改善土壤肥力提高作物产量&lt;/Title&gt;&lt;Template&gt;Journal Article&lt;/Template&gt;&lt;Star&gt;0&lt;/Star&gt;&lt;Tag&gt;0&lt;/Tag&gt;&lt;Author&gt;周国朋; 谢志坚; 曹卫东; 徐昌旭; 白金顺; 曾闹华; 高嵩涓; 杨璐&lt;/Author&gt;&lt;Year&gt;2017&lt;/Year&gt;&lt;Details&gt;&lt;_author_adr&gt;中国农业科学院农业资源与农业区划研究所/农业部植物营养与肥料重点实验室;中国农业科学院研究生院;江西省农业科学院土壤肥料与资源环境研究所/农业部长江中下游作物生理生态与耕作重点实验室/国家红壤改良工程技术研究中心;青海大学青海省农林科学院土壤肥料研究所;&lt;/_author_adr&gt;&lt;_cited_count&gt;122&lt;/_cited_count&gt;&lt;_db_provider&gt;CNKI&lt;/_db_provider&gt;&lt;_isbn&gt;1002-6819&lt;/_isbn&gt;&lt;_issue&gt;23&lt;/_issue&gt;&lt;_journal&gt;农业工程学报&lt;/_journal&gt;&lt;_keywords&gt;绿肥;肥力;氮;稻;紫云英;产量&lt;/_keywords&gt;&lt;_pages&gt;157-163&lt;/_pages&gt;&lt;_url&gt;https://kns.cnki.net/kcms2/article/abstract?v=e9e-pYHXmffGTAhgCuu2PUbcAx9g0voP6l1tmaGxTxAxIhyLGlPdNLeWl-kvyVKltJg9X5I13pY4rk6qiA4brka5qU05BbGHITpHtneZQK-XoBU7v2dzriCZS5W4rF8qQ8-84OQpgJDjfNL6G-o86-w6wOE172HIY55cFGAxHdJn9O9aCa4OzMwr0fxT85PK-MfffOUxXPA=&amp;amp;uniplatform=NZKPT&amp;amp;language=CHS&lt;/_url&gt;&lt;_volume&gt;33&lt;/_volume&gt;&lt;_created&gt;65797354&lt;/_created&gt;&lt;_modified&gt;65797354&lt;/_modified&gt;&lt;_db_updated&gt;CNKI - Reference&lt;/_db_updated&gt;&lt;_translated_author&gt;Zhou, Guo peng;Xie, Zhi jian;Cao, Wei dong;Xu, Chang xu;Bai, Jin shun;Ceng, Nao hua;Gao, Song juan;Yang, Lu&lt;/_translated_author&gt;&lt;_language&gt;Chinese&lt;/_language&gt;&lt;/Details&gt;&lt;Extra&gt;&lt;DBUID&gt;{03752FAB-B361-4F66-989B-C711D9502F78}&lt;/DBUID&gt;&lt;/Extra&gt;&lt;/Item&gt;&lt;/References&gt;&lt;/Group&gt;&lt;/Citation&gt;_x000a_"/>
    <w:docVar w:name="NE.Ref{4EF291C7-D23B-4C4D-BA82-6E52329502B3}" w:val=" ADDIN NE.Ref.{4EF291C7-D23B-4C4D-BA82-6E52329502B3}&lt;Citation&gt;&lt;Group&gt;&lt;References&gt;&lt;Item&gt;&lt;ID&gt;1111&lt;/ID&gt;&lt;UID&gt;{1C980F06-3BE9-4886-BD28-C3C62B9BACB5}&lt;/UID&gt;&lt;Title&gt;南方稻田紫云英作冬绿肥的增产节肥效应与机制&lt;/Title&gt;&lt;Template&gt;Journal Article&lt;/Template&gt;&lt;Star&gt;0&lt;/Star&gt;&lt;Tag&gt;0&lt;/Tag&gt;&lt;Author&gt;高嵩涓; 周国朋; 曹卫东&lt;/Author&gt;&lt;Year&gt;2020&lt;/Year&gt;&lt;Details&gt;&lt;_author_adr&gt;南京农业大学资源与环境科学学院;中国农业科学院农业资源与农业区划研究所/农业农村部植物营养与肥料重点实验室;&lt;/_author_adr&gt;&lt;_cited_count&gt;148&lt;/_cited_count&gt;&lt;_db_provider&gt;CNKI&lt;/_db_provider&gt;&lt;_isbn&gt;1008-505X&lt;/_isbn&gt;&lt;_issue&gt;12&lt;/_issue&gt;&lt;_journal&gt;植物营养与肥料学报&lt;/_journal&gt;&lt;_keywords&gt;稻田;紫云英;增产;节肥;土壤碳氮&lt;/_keywords&gt;&lt;_pages&gt;2115-2126&lt;/_pages&gt;&lt;_url&gt;https://link.cnki.net/urlid/11.3996.s.20201203.0920.004&lt;/_url&gt;&lt;_volume&gt;26&lt;/_volume&gt;&lt;_created&gt;65797356&lt;/_created&gt;&lt;_modified&gt;65797356&lt;/_modified&gt;&lt;_db_updated&gt;CNKI - Reference&lt;/_db_updated&gt;&lt;_collection_scope&gt;PKU;CSCD&lt;/_collection_scope&gt;&lt;_translated_author&gt;Gao, Song juan;Zhou, Guo peng;Cao, Wei dong&lt;/_translated_author&gt;&lt;/Details&gt;&lt;Extra&gt;&lt;DBUID&gt;{03752FAB-B361-4F66-989B-C711D9502F78}&lt;/DBUID&gt;&lt;/Extra&gt;&lt;/Item&gt;&lt;/References&gt;&lt;/Group&gt;&lt;/Citation&gt;_x000a_"/>
    <w:docVar w:name="NE.Ref{537E00A7-BD8A-4546-B841-88AD2F83FB66}" w:val=" ADDIN NE.Ref.{537E00A7-BD8A-4546-B841-88AD2F83FB66}&lt;Citation&gt;&lt;Group&gt;&lt;References&gt;&lt;Item&gt;&lt;ID&gt;1105&lt;/ID&gt;&lt;UID&gt;{0DC6E529-C9AA-43D1-A3DF-72420B86E8FA}&lt;/UID&gt;&lt;Title&gt;水稻侧深施肥技术的氮肥减施效应&lt;/Title&gt;&lt;Template&gt;Journal Article&lt;/Template&gt;&lt;Star&gt;0&lt;/Star&gt;&lt;Tag&gt;0&lt;/Tag&gt;&lt;Author&gt;怀燕; 陈照明; 张耿苗; 姜铭北; 许剑锋; 王强&lt;/Author&gt;&lt;Year&gt;2020&lt;/Year&gt;&lt;Details&gt;&lt;_author_adr&gt;浙江省农业技术推广中心粮油科;浙江省农业科学院环境资源与土壤肥料研究所;诸暨市农业技术推广中心;淳安县农业农村局植保土肥站;&lt;/_author_adr&gt;&lt;_cited_count&gt;52&lt;/_cited_count&gt;&lt;_db_provider&gt;CNKI&lt;/_db_provider&gt;&lt;_isbn&gt;1008-9209&lt;/_isbn&gt;&lt;_issue&gt;02&lt;/_issue&gt;&lt;_journal&gt;浙江大学学报(农业与生命科学版)&lt;/_journal&gt;&lt;_keywords&gt;水稻;缓释肥;侧深施肥;氮肥减施&lt;/_keywords&gt;&lt;_pages&gt;217-224&lt;/_pages&gt;&lt;_url&gt;https://kns.cnki.net/kcms2/article/abstract?v=e9e-pYHXmfcsEabxigdOhRQd_jg91vWA7OVeECeQfbfeolu3GcN4M8az1NLQzZDm2BoLq36p8loJoUcGgLwTkFlsbPy7vvVINsfzx3a4ydnVgdv9dHnnQ3LT33mDPcCD7yoTBdp5fV92qgn-Lroyi4BlzMSO-hL9Zz8Fh8QDGllkKJVoGsWviYwfbuEh3HANnwE-Snnt5HQ=&amp;amp;uniplatform=NZKPT&amp;amp;language=CHS&lt;/_url&gt;&lt;_volume&gt;46&lt;/_volume&gt;&lt;_created&gt;65797351&lt;/_created&gt;&lt;_modified&gt;65797351&lt;/_modified&gt;&lt;_db_updated&gt;CNKI - Reference&lt;/_db_updated&gt;&lt;_collection_scope&gt;PKU;CSCD&lt;/_collection_scope&gt;&lt;_translated_author&gt;Huai, Yan;Chen, Zhao ming;Zhang, Geng miao;Jiang, Ming bei;Xu, Jian feng;Wang, Qiang&lt;/_translated_author&gt;&lt;/Details&gt;&lt;Extra&gt;&lt;DBUID&gt;{03752FAB-B361-4F66-989B-C711D9502F78}&lt;/DBUID&gt;&lt;/Extra&gt;&lt;/Item&gt;&lt;/References&gt;&lt;/Group&gt;&lt;/Citation&gt;_x000a_"/>
    <w:docVar w:name="NE.Ref{54F21D6F-5F2C-4C2A-AFC2-D7A2F03D99F1}" w:val=" ADDIN NE.Ref.{54F21D6F-5F2C-4C2A-AFC2-D7A2F03D99F1}&lt;Citation&gt;&lt;Group&gt;&lt;References&gt;&lt;Item&gt;&lt;ID&gt;1113&lt;/ID&gt;&lt;UID&gt;{F0529A98-B382-4B32-B5B3-32E3AE56B337}&lt;/UID&gt;&lt;Title&gt;水稻产量对双季稻-不同冬绿肥轮作及环境的响应&lt;/Title&gt;&lt;Template&gt;Journal Article&lt;/Template&gt;&lt;Star&gt;0&lt;/Star&gt;&lt;Tag&gt;0&lt;/Tag&gt;&lt;Author&gt;黄晶; 刘淑军; 张会民; 王晓辉; 高菊生&lt;/Author&gt;&lt;Year&gt;2016&lt;/Year&gt;&lt;Details&gt;&lt;_author_adr&gt;中国农业科学院农业资源与农业区划研究所//耕地培育技术国家工程实验室;中国农业科学院衡阳红壤实验站//祁阳农田生态系统国家野外试验站;耒阳市农业局;&lt;/_author_adr&gt;&lt;_cited_count&gt;23&lt;/_cited_count&gt;&lt;_db_provider&gt;CNKI&lt;/_db_provider&gt;&lt;_doi&gt;10.16258/j.cnki.1674-5906.2016.08.003&lt;/_doi&gt;&lt;_isbn&gt;1674-5906&lt;/_isbn&gt;&lt;_issue&gt;08&lt;/_issue&gt;&lt;_journal&gt;生态环境学报&lt;/_journal&gt;&lt;_keywords&gt;水稻产量;双季稻-绿肥轮作;产量变异系数;可持续性指数;AMMI分析&lt;/_keywords&gt;&lt;_pages&gt;1271-1276&lt;/_pages&gt;&lt;_url&gt;https://link.cnki.net/doi/10.16258/j.cnki.1674-5906.2016.08.003&lt;/_url&gt;&lt;_volume&gt;25&lt;/_volume&gt;&lt;_created&gt;65797357&lt;/_created&gt;&lt;_modified&gt;65797357&lt;/_modified&gt;&lt;_db_updated&gt;CNKI - Reference&lt;/_db_updated&gt;&lt;_collection_scope&gt;PKU;CSCD&lt;/_collection_scope&gt;&lt;_translated_author&gt;Huang, Jing;Liu, Shu jun;Zhang, Hui min;Wang, Xiao hui;Gao, Ju sheng&lt;/_translated_author&gt;&lt;/Details&gt;&lt;Extra&gt;&lt;DBUID&gt;{03752FAB-B361-4F66-989B-C711D9502F78}&lt;/DBUID&gt;&lt;/Extra&gt;&lt;/Item&gt;&lt;/References&gt;&lt;/Group&gt;&lt;/Citation&gt;_x000a_"/>
    <w:docVar w:name="NE.Ref{67829A38-6047-4EB9-9A14-FBF5F15819B9}" w:val=" ADDIN NE.Ref.{67829A38-6047-4EB9-9A14-FBF5F15819B9}&lt;Citation&gt;&lt;Group&gt;&lt;References&gt;&lt;Item&gt;&lt;ID&gt;1107&lt;/ID&gt;&lt;UID&gt;{F68751E8-465F-44A8-8C33-1A86AB762CC1}&lt;/UID&gt;&lt;Title&gt;不同灌溉模式水稻需水规律研究&lt;/Title&gt;&lt;Template&gt;Journal Article&lt;/Template&gt;&lt;Star&gt;0&lt;/Star&gt;&lt;Tag&gt;0&lt;/Tag&gt;&lt;Author&gt;庄德续; 司振江; 李芳花&lt;/Author&gt;&lt;Year&gt;2014&lt;/Year&gt;&lt;Details&gt;&lt;_author_adr&gt;东北农业大学水利与建筑学院;黑龙江省水利科学研究院;&lt;/_author_adr&gt;&lt;_cited_count&gt;24&lt;/_cited_count&gt;&lt;_collection_scope&gt;PKU&lt;/_collection_scope&gt;&lt;_created&gt;65797352&lt;/_created&gt;&lt;_db_provider&gt;CNKI&lt;/_db_provider&gt;&lt;_db_updated&gt;CNKI - Reference&lt;/_db_updated&gt;&lt;_isbn&gt;1007-4929&lt;/_isbn&gt;&lt;_issue&gt;08&lt;/_issue&gt;&lt;_journal&gt;节水灌溉&lt;/_journal&gt;&lt;_keywords&gt;需水量;模比系数;需水强度;产量;水分利用率&lt;/_keywords&gt;&lt;_modified&gt;65797352&lt;/_modified&gt;&lt;_pages&gt;1-3+11&lt;/_pages&gt;&lt;_url&gt;https://kns.cnki.net/kcms2/article/abstract?v=e9e-pYHXmfeI9UJbWbuddB90sF7ForEH_T-HXDBa_O16DUz_5B7N90qKsJwPE1jugZCAAab6VT5APQM7FSNuKiRUZJv1BcfrNe4J1RQDAJxFu-DDkYr9Lu3iZW8rMwRf-Fi57hiLdXJURHBs845TF4Xu5Q9oBdib4EsODSdq0zfSwFYE7Zm8OgizamBZUqZ2DEw2ehp_u7w=&amp;amp;uniplatform=NZKPT&amp;amp;language=CHS&lt;/_url&gt;&lt;_translated_author&gt;Zhuang, De xu;Si, Zhen jiang;Li, Fang hua&lt;/_translated_author&gt;&lt;/Details&gt;&lt;Extra&gt;&lt;DBUID&gt;{03752FAB-B361-4F66-989B-C711D9502F78}&lt;/DBUID&gt;&lt;/Extra&gt;&lt;/Item&gt;&lt;/References&gt;&lt;/Group&gt;&lt;/Citation&gt;_x000a_"/>
    <w:docVar w:name="NE.Ref{76CC87E4-1AC5-4F06-8D5E-EFEFB52EEAF7}" w:val=" ADDIN NE.Ref.{76CC87E4-1AC5-4F06-8D5E-EFEFB52EEAF7}&lt;Citation&gt;&lt;Group&gt;&lt;References&gt;&lt;Item&gt;&lt;ID&gt;1108&lt;/ID&gt;&lt;UID&gt;{B68CA0DE-6508-48D2-A199-6C62077F8D6D}&lt;/UID&gt;&lt;Title&gt;Methane emissions sources and impact mechanisms altered by the shift from rice-wheat to rice-crayfish rotation&lt;/Title&gt;&lt;Template&gt;Journal Article&lt;/Template&gt;&lt;Star&gt;0&lt;/Star&gt;&lt;Tag&gt;0&lt;/Tag&gt;&lt;Author&gt;Wang, Shaopeng; Liu, Yilin; Zhang, Fulin; Jin, Ke; Liu, Hongbin; Zhai, Limei&lt;/Author&gt;&lt;Year&gt;2024&lt;/Year&gt;&lt;Details&gt;&lt;_alternate_title&gt;Journal of Cleaner Production&lt;/_alternate_title&gt;&lt;_date_display&gt;2024&lt;/_date_display&gt;&lt;_date&gt;2024-01-01&lt;/_date&gt;&lt;_doi&gt;https://doi.org/10.1016/j.jclepro.2023.139968&lt;/_doi&gt;&lt;_isbn&gt;0959-6526&lt;/_isbn&gt;&lt;_journal&gt;Journal of Cleaner Production&lt;/_journal&gt;&lt;_keywords&gt;Greenhouse gas emission; Paddy field; Methane; Emission factors; Rice-crayfish rotation&lt;/_keywords&gt;&lt;_pages&gt;139968&lt;/_pages&gt;&lt;_url&gt;https://www.sciencedirect.com/science/article/pii/S0959652623041264&lt;/_url&gt;&lt;_volume&gt;434&lt;/_volume&gt;&lt;_created&gt;65797352&lt;/_created&gt;&lt;_modified&gt;65797352&lt;/_modified&gt;&lt;_db_updated&gt;ScienceDirect&lt;/_db_updated&gt;&lt;_impact_factor&gt;   9.700&lt;/_impact_factor&gt;&lt;_social_category&gt;工程：环境(2) &amp;amp; 环境科学(1) &amp;amp; 绿色可持续发展技术(2)&lt;/_social_category&gt;&lt;_collection_scope&gt;SCIE;EI&lt;/_collection_scope&gt;&lt;/Details&gt;&lt;Extra&gt;&lt;DBUID&gt;{03752FAB-B361-4F66-989B-C711D9502F78}&lt;/DBUID&gt;&lt;/Extra&gt;&lt;/Item&gt;&lt;/References&gt;&lt;/Group&gt;&lt;/Citation&gt;_x000a_"/>
    <w:docVar w:name="NE.Ref{90D4FAA9-744A-4992-8A37-7D9438218634}" w:val=" ADDIN NE.Ref.{90D4FAA9-744A-4992-8A37-7D9438218634}&lt;Citation&gt;&lt;Group&gt;&lt;References&gt;&lt;Item&gt;&lt;ID&gt;1104&lt;/ID&gt;&lt;UID&gt;{DBE40117-1D66-4E77-8B1C-53B277190E39}&lt;/UID&gt;&lt;Title&gt;三江平原水田排水期氮素输出特征研究&lt;/Title&gt;&lt;Template&gt;Journal Article&lt;/Template&gt;&lt;Star&gt;0&lt;/Star&gt;&lt;Tag&gt;0&lt;/Tag&gt;&lt;Author&gt;路路; 戴尔阜; 程千钉; 邬真真&lt;/Author&gt;&lt;Year&gt;2020&lt;/Year&gt;&lt;Details&gt;&lt;_author_adr&gt;生态环境部环境规划院战略规划部;中国科学院地理科学与资源研究所;北京东方计量测试研究所;北京师范大学环境学院;&lt;/_author_adr&gt;&lt;_cited_count&gt;7&lt;/_cited_count&gt;&lt;_db_provider&gt;CNKI&lt;/_db_provider&gt;&lt;_isbn&gt;1000-0585&lt;/_isbn&gt;&lt;_issue&gt;02&lt;/_issue&gt;&lt;_journal&gt;地理研究&lt;/_journal&gt;&lt;_keywords&gt;氮素;水田;排水期;同位素示踪;输出特征&lt;/_keywords&gt;&lt;_pages&gt;473-482&lt;/_pages&gt;&lt;_url&gt;https://kns.cnki.net/kcms2/article/abstract?v=e9e-pYHXmfeNWEvfYr0tvNrhwHhj7ZDe2bdh6MBFQr6I10Lwc6fOrDm9_hGKwxtr4R2vkwV_gBSKLz7hNiJ5sgCW6m6Wb_BCYSWk0eqkdljgfBjD5mMvXLLEgX_HVNNzkeBEjo2eNhbwlvwksg6DFtbbTwbFNFL2KMGSUk37NRbj8NcBCjMsL2G87pvuJWuPCJ1PE5D_DGk=&amp;amp;uniplatform=NZKPT&amp;amp;language=CHS&lt;/_url&gt;&lt;_volume&gt;39&lt;/_volume&gt;&lt;_created&gt;65797351&lt;/_created&gt;&lt;_modified&gt;65797351&lt;/_modified&gt;&lt;_db_updated&gt;CNKI - Reference&lt;/_db_updated&gt;&lt;_collection_scope&gt;PKU;CSCD;CSSCI&lt;/_collection_scope&gt;&lt;_translated_author&gt;Lu, Lu;Dai, Er fu;Cheng, Qian ding;Wu, Zhen zhen&lt;/_translated_author&gt;&lt;/Details&gt;&lt;Extra&gt;&lt;DBUID&gt;{03752FAB-B361-4F66-989B-C711D9502F78}&lt;/DBUID&gt;&lt;/Extra&gt;&lt;/Item&gt;&lt;/References&gt;&lt;/Group&gt;&lt;/Citation&gt;_x000a_"/>
    <w:docVar w:name="NE.Ref{96C60669-9224-44CD-BAA4-BB3453F6C5D1}" w:val=" ADDIN NE.Ref.{96C60669-9224-44CD-BAA4-BB3453F6C5D1}&lt;Citation&gt;&lt;Group&gt;&lt;References&gt;&lt;Item&gt;&lt;ID&gt;1102&lt;/ID&gt;&lt;UID&gt;{03DC288C-0F27-45ED-B4D9-D6EABB091F15}&lt;/UID&gt;&lt;Title&gt;Anaerobic primed CO2 and CH4 in paddy soil are driven by Fe reduction and stimulated by biochar&lt;/Title&gt;&lt;Template&gt;Journal Article&lt;/Template&gt;&lt;Star&gt;0&lt;/Star&gt;&lt;Tag&gt;0&lt;/Tag&gt;&lt;Author&gt;Liu, Qi; Li, Yuhong; Liu, Shoulong; Gao, Wei; Shen, Jianlin; Zhang, Guangbin; Xu, Hua; Zhu, Zhenke; Ge, Tida; Wu, Jinshui&lt;/Author&gt;&lt;Year&gt;2022&lt;/Year&gt;&lt;Details&gt;&lt;_alternate_title&gt;Science of The Total Environment&lt;/_alternate_title&gt;&lt;_date_display&gt;2022&lt;/_date_display&gt;&lt;_date&gt;2022-01-01&lt;/_date&gt;&lt;_doi&gt;https://doi.org/10.1016/j.scitotenv.2021.151911&lt;/_doi&gt;&lt;_isbn&gt;0048-9697&lt;/_isbn&gt;&lt;_journal&gt;Science of The Total Environment&lt;/_journal&gt;&lt;_keywords&gt;Priming effect; Fe reduction; CH production; Soil enzyme activity; Electron shuttle; Paddy field soil&lt;/_keywords&gt;&lt;_pages&gt;151911&lt;/_pages&gt;&lt;_url&gt;https://www.sciencedirect.com/science/article/pii/S0048969721069874&lt;/_url&gt;&lt;_volume&gt;808&lt;/_volume&gt;&lt;_created&gt;65797347&lt;/_created&gt;&lt;_modified&gt;65797347&lt;/_modified&gt;&lt;_db_updated&gt;ScienceDirect&lt;/_db_updated&gt;&lt;_impact_factor&gt;   8.200&lt;/_impact_factor&gt;&lt;_social_category&gt;环境科学(1)&lt;/_social_category&gt;&lt;_collection_scope&gt;SCIE;EI&lt;/_collection_scope&gt;&lt;/Details&gt;&lt;Extra&gt;&lt;DBUID&gt;{03752FAB-B361-4F66-989B-C711D9502F78}&lt;/DBUID&gt;&lt;/Extra&gt;&lt;/Item&gt;&lt;/References&gt;&lt;/Group&gt;&lt;/Citation&gt;_x000a_"/>
    <w:docVar w:name="NE.Ref{9B0D0BB9-D70B-4236-8989-63621AB8313B}" w:val=" ADDIN NE.Ref.{9B0D0BB9-D70B-4236-8989-63621AB8313B}&lt;Citation&gt;&lt;Group&gt;&lt;References&gt;&lt;Item&gt;&lt;ID&gt;1117&lt;/ID&gt;&lt;UID&gt;{7D6C8D73-79EE-4467-A6C8-A627E2558BE6}&lt;/UID&gt;&lt;Title&gt;Early mid-season drainage can mitigate greenhouse gas emission from organic rice farming with green manure application&lt;/Title&gt;&lt;Template&gt;Journal Article&lt;/Template&gt;&lt;Star&gt;0&lt;/Star&gt;&lt;Tag&gt;0&lt;/Tag&gt;&lt;Author&gt;Toma, Yo; Takechi, Yuuki; Inoue, Ayano; Nakaya, Natsuko; Hosoya, Kazuhiro; Yamashita, Youichi; Adachi, Masataka; Kono, Takayuki; Hideto, Ueno&lt;/Author&gt;&lt;Year&gt;2021&lt;/Year&gt;&lt;Details&gt;&lt;_created&gt;65797375&lt;/_created&gt;&lt;_modified&gt;65797376&lt;/_modified&gt;&lt;_url&gt;http://pku.summon.serialssolutions.com/2.0.0/link/0/eLvHCXMwrV3dS8MwEA-6J33wW5zOkX-go23SNXkcsiGi4sNE8KVcm2SKrBvr5t_vXT9wU8QHpS9JIKHc5S53l8vvGBNhz_e-6ARpnQPh4jg2cQCB6IPCD1wcWjzSUoq_Pd-p24dwNIxu6uTCos6yJJfaVbgRpeomWYe0aBLkqByZovskdPbCoIcWS4y7FJUymjokqePRU6OaJdoGFXw4SjlNaZ70_LTKxmG1AWX6TXWX59Fo_x9-_YDt1cYoH1S755Bt2fyI7Q4mixqQwx6z9xIBmU9fjUfhxFnODRWVQC3EkSk4XmJ0WD6h_J2X2arAJhScqshRHI7T8xVelY7KOAEYcQeUfjPhFAGupvEp0HNlvnaZfsIeR8Px1bVX12rwMnRyl56yRuvQOF9b8LXCBjgbxApSo6XMfJFlDrtRFLpUQOA0SOGnaBsh_21krThlrXyW2zPGIVMa3UCnIDJSp1YJZ0EZ2Q9D6_oS2qzXMCWZV5AcSfCJdFoSNCGCJjVB20yvsy5ZlrEQVxUuScQvczsNn5NauosEvU6JlpxQ6vwPS1-wHeqWub-yw1rLxcpesu3526rLtoV_3y337gfd-vD6&lt;/_url&gt;&lt;_place_published&gt;Kyoto&lt;/_place_published&gt;&lt;_journal&gt;Soil science and plant nutrition (Tokyo)&lt;/_journal&gt;&lt;_volume&gt;67&lt;/_volume&gt;&lt;_issue&gt;4&lt;/_issue&gt;&lt;_number&gt;1&lt;/_number&gt;&lt;_pages&gt;482-492&lt;/_pages&gt;&lt;_doi&gt;10.1080/00380768.2021.1927832&lt;/_doi&gt;&lt;_date_display&gt;2021&lt;/_date_display&gt;&lt;_date&gt;63640800&lt;/_date&gt;&lt;_isbn&gt;0038-0768&lt;/_isbn&gt;&lt;_ori_publication&gt;Taylor &amp;amp; Francis&lt;/_ori_publication&gt;&lt;_keywords&gt;Agricultural management; Anaerobic conditions; Carbon dioxide; carbon sequestration; Climate change; Crop production; Crop yield; Drainage; early incorporation; Emission measurements; Emissions; Emissions control; Farm buildings; Farming; Global warming; Grain; green manure; Greenhouse effect; Greenhouse gas emission; Greenhouse gases; Manures; Methane; mid-season drainage; Nitrous oxide; Organic farming; Organic matter; Production methods; Rice; Rice fields; Seasons; Soils; Vicia villosa&lt;/_keywords&gt;&lt;_accessed&gt;65797376&lt;/_accessed&gt;&lt;_db_updated&gt;PKU Search&lt;/_db_updated&gt;&lt;_impact_factor&gt;   1.900&lt;/_impact_factor&gt;&lt;_social_category&gt;环境科学(4) &amp;amp; 植物科学(4) &amp;amp; 土壤科学(4)&lt;/_social_category&gt;&lt;/Details&gt;&lt;Extra&gt;&lt;DBUID&gt;{03752FAB-B361-4F66-989B-C711D9502F78}&lt;/DBUID&gt;&lt;/Extra&gt;&lt;/Item&gt;&lt;/References&gt;&lt;/Group&gt;&lt;/Citation&gt;_x000a_"/>
    <w:docVar w:name="NE.Ref{9FE48BCE-002D-4380-B272-D19DA322F66B}" w:val=" ADDIN NE.Ref.{9FE48BCE-002D-4380-B272-D19DA322F66B}&lt;Citation&gt;&lt;Group&gt;&lt;References&gt;&lt;Item&gt;&lt;ID&gt;1106&lt;/ID&gt;&lt;UID&gt;{2AB3D57D-7639-41F4-B722-9C6CF393500A}&lt;/UID&gt;&lt;Title&gt;长江下游单季稻一次性施肥的适宜缓释氮肥筛选&lt;/Title&gt;&lt;Template&gt;Journal Article&lt;/Template&gt;&lt;Star&gt;0&lt;/Star&gt;&lt;Tag&gt;0&lt;/Tag&gt;&lt;Author&gt;王强; 姜丽娜; 潘建清; 符建荣; 马军伟; 叶静; 俞巧钢; 孙万春; 邹平; 林辉&lt;/Author&gt;&lt;Year&gt;2018&lt;/Year&gt;&lt;Details&gt;&lt;_author_adr&gt;浙江省农业科学院环境资源与土壤肥料研究所;浙江省长兴县农业局;&lt;/_author_adr&gt;&lt;_cited_count&gt;26&lt;/_cited_count&gt;&lt;_db_provider&gt;CNKI&lt;/_db_provider&gt;&lt;_isbn&gt;1673-6257&lt;/_isbn&gt;&lt;_issue&gt;03&lt;/_issue&gt;&lt;_journal&gt;中国土壤与肥料&lt;/_journal&gt;&lt;_keywords&gt;长江下游;单季稻;一次性施肥;缓释氮肥&lt;/_keywords&gt;&lt;_pages&gt;48-53&lt;/_pages&gt;&lt;_url&gt;https://kns.cnki.net/kcms2/article/abstract?v=e9e-pYHXmff5_uwLGSdJ3cyiCfL1QEwabBbI6sM8aq4OFabmfhO6BbO0njq_JWbFrFTFTqerYr-sOLOT_9RUn7EWBCZXLw7X1WWlLQirjY73V6kKlfQZbGr15RzhNd244Xst8zxtRO2HDm-cDNM0DSH1oPHO5oA_R3TPRLkAmOToaA_wUDqjtE4dOfuPBuPxqg7gwoGDlrk=&amp;amp;uniplatform=NZKPT&amp;amp;language=CHS&lt;/_url&gt;&lt;_created&gt;65797351&lt;/_created&gt;&lt;_modified&gt;65797351&lt;/_modified&gt;&lt;_db_updated&gt;CNKI - Reference&lt;/_db_updated&gt;&lt;_collection_scope&gt;PKU;CSCD&lt;/_collection_scope&gt;&lt;_translated_author&gt;Wang, Qiang;Jiang, Li na;Pan, Jian qing;Fu, Jian rong;Ma, Jun wei;Ye, Jing;Yu, Qiao gang;Sun, Wan chun;Zou, Ping;Lin, Hui&lt;/_translated_author&gt;&lt;/Details&gt;&lt;Extra&gt;&lt;DBUID&gt;{03752FAB-B361-4F66-989B-C711D9502F78}&lt;/DBUID&gt;&lt;/Extra&gt;&lt;/Item&gt;&lt;/References&gt;&lt;/Group&gt;&lt;/Citation&gt;_x000a_"/>
    <w:docVar w:name="NE.Ref{A43EEC14-5FAE-4533-A688-5ACD267E5D92}" w:val=" ADDIN NE.Ref.{A43EEC14-5FAE-4533-A688-5ACD267E5D92}&lt;Citation&gt;&lt;Group&gt;&lt;References&gt;&lt;Item&gt;&lt;ID&gt;1100&lt;/ID&gt;&lt;UID&gt;{DA705E6B-5BD1-4BE7-9895-1A163A0C5493}&lt;/UID&gt;&lt;Title&gt;Effect of irrigation-drainage unit on phosphorus interception in paddy field system&lt;/Title&gt;&lt;Template&gt;Journal Article&lt;/Template&gt;&lt;Star&gt;0&lt;/Star&gt;&lt;Tag&gt;0&lt;/Tag&gt;&lt;Author&gt;Hua, Lingling; Zhai, Limei; Liu, Jian; Liu, Hongbin; Zhang, Fulin; Fan, Xianpeng&lt;/Author&gt;&lt;Year&gt;2019&lt;/Year&gt;&lt;Details&gt;&lt;_alternate_title&gt;Journal of Environmental Management&lt;/_alternate_title&gt;&lt;_date_display&gt;2019&lt;/_date_display&gt;&lt;_date&gt;2019-01-01&lt;/_date&gt;&lt;_doi&gt;https://doi.org/10.1016/j.jenvman.2019.01.059&lt;/_doi&gt;&lt;_isbn&gt;0301-4797&lt;/_isbn&gt;&lt;_journal&gt;Journal of Environmental Management&lt;/_journal&gt;&lt;_keywords&gt;Non-point source pollution; Irrigation-drainage unit; Phosphorus; Paddy field system&lt;/_keywords&gt;&lt;_pages&gt;319-327&lt;/_pages&gt;&lt;_url&gt;https://www.sciencedirect.com/science/article/pii/S0301479719300611&lt;/_url&gt;&lt;_volume&gt;235&lt;/_volume&gt;&lt;_created&gt;65797346&lt;/_created&gt;&lt;_modified&gt;65797346&lt;/_modified&gt;&lt;_db_updated&gt;ScienceDirect&lt;/_db_updated&gt;&lt;_impact_factor&gt;   8.000&lt;/_impact_factor&gt;&lt;_social_category&gt;环境科学(2)&lt;/_social_category&gt;&lt;_collection_scope&gt;SCIE&lt;/_collection_scope&gt;&lt;_language&gt;English&lt;/_language&gt;&lt;/Details&gt;&lt;Extra&gt;&lt;DBUID&gt;{03752FAB-B361-4F66-989B-C711D9502F78}&lt;/DBUID&gt;&lt;/Extra&gt;&lt;/Item&gt;&lt;/References&gt;&lt;/Group&gt;&lt;/Citation&gt;_x000a_"/>
    <w:docVar w:name="NE.Ref{A4CEC3EB-DDD2-44D9-83C9-1C75DCFD6D41}" w:val=" ADDIN NE.Ref.{A4CEC3EB-DDD2-44D9-83C9-1C75DCFD6D41}&lt;Citation&gt;&lt;Group&gt;&lt;References&gt;&lt;Item&gt;&lt;ID&gt;1101&lt;/ID&gt;&lt;UID&gt;{A1295DF5-9ABE-43E3-B99E-68483AA6AAA8}&lt;/UID&gt;&lt;Title&gt;稻田豆科冬季绿肥腐解及养分释放特征研究&lt;/Title&gt;&lt;Template&gt;Journal Article&lt;/Template&gt;&lt;Star&gt;0&lt;/Star&gt;&lt;Tag&gt;0&lt;/Tag&gt;&lt;Author&gt;李忠义; 何铁光; 蒙炎成; 韦彩会; 唐红琴&lt;/Author&gt;&lt;Year&gt;2018&lt;/Year&gt;&lt;Details&gt;&lt;_author_adr&gt;广西农业科学院农业资源与环境研究所;&lt;/_author_adr&gt;&lt;_cited_count&gt;25&lt;/_cited_count&gt;&lt;_db_provider&gt;CNKI&lt;/_db_provider&gt;&lt;_doi&gt;10.15889/j.issn.1002-1302.2018.13.056&lt;/_doi&gt;&lt;_isbn&gt;1002-1302&lt;/_isbn&gt;&lt;_issue&gt;13&lt;/_issue&gt;&lt;_journal&gt;江苏农业科学&lt;/_journal&gt;&lt;_keywords&gt;冬季绿肥;紫云英;苕子;腐解特征;养分释放特征;稻田;农田养分管理;土壤改良&lt;/_keywords&gt;&lt;_pages&gt;241-245&lt;/_pages&gt;&lt;_url&gt;https://link.cnki.net/doi/10.15889/j.issn.1002-1302.2018.13.056&lt;/_url&gt;&lt;_volume&gt;46&lt;/_volume&gt;&lt;_created&gt;65797347&lt;/_created&gt;&lt;_modified&gt;65797347&lt;/_modified&gt;&lt;_db_updated&gt;CNKI - Reference&lt;/_db_updated&gt;&lt;_collection_scope&gt;PKU&lt;/_collection_scope&gt;&lt;_translated_author&gt;Li, Zhong yi;He, Tie guang;Meng, Yan cheng;Wei, Cai hui;Tang, Hong qin&lt;/_translated_author&gt;&lt;_language&gt;Chinese&lt;/_language&gt;&lt;/Details&gt;&lt;Extra&gt;&lt;DBUID&gt;{03752FAB-B361-4F66-989B-C711D9502F78}&lt;/DBUID&gt;&lt;/Extra&gt;&lt;/Item&gt;&lt;/References&gt;&lt;/Group&gt;&lt;/Citation&gt;_x000a_"/>
    <w:docVar w:name="NE.Ref{A8D81D3E-B70A-4831-9FAF-F2665F574C80}" w:val=" ADDIN NE.Ref.{A8D81D3E-B70A-4831-9FAF-F2665F574C80}&lt;Citation&gt;&lt;Group&gt;&lt;References&gt;&lt;Item&gt;&lt;ID&gt;1114&lt;/ID&gt;&lt;UID&gt;{E7C35424-B25C-48F3-BD47-BFB67A107751}&lt;/UID&gt;&lt;Title&gt;紫云英不同翻压时期对土壤养分和水稻产量的影响&lt;/Title&gt;&lt;Template&gt;Journal Article&lt;/Template&gt;&lt;Star&gt;0&lt;/Star&gt;&lt;Tag&gt;0&lt;/Tag&gt;&lt;Author&gt;吕玉虎; 刘春增; 潘兹亮; 李本银; 曹卫东&lt;/Author&gt;&lt;Year&gt;2013&lt;/Year&gt;&lt;Details&gt;&lt;_author_adr&gt;信阳市农业科学研究所;河南省农业科学院植物营养与资源环境研究所;中国农业科学院农业资源与农业区划研究所;&lt;/_author_adr&gt;&lt;_cited_count&gt;31&lt;/_cited_count&gt;&lt;_db_provider&gt;CNKI&lt;/_db_provider&gt;&lt;_isbn&gt;1673-6257&lt;/_isbn&gt;&lt;_issue&gt;01&lt;/_issue&gt;&lt;_journal&gt;中国土壤与肥料&lt;/_journal&gt;&lt;_keywords&gt;紫云英;翻压时期;土壤养分;水稻产量&lt;/_keywords&gt;&lt;_pages&gt;85-87&lt;/_pages&gt;&lt;_url&gt;https://kns.cnki.net/kcms2/article/abstract?v=e9e-pYHXmfd1rrqGW_dyOswlBW6khVlbqUG0u185hR0UFYFyjcu7OA8S2MjOypK4ZK7fJ10HXI_Uvo-6wGGflB2YnO_5NxpmYKhCdkLIELQ6XVuQYRkqTb-ilDrxbJpFuUPr6t9sG6d0oGLkOhlL7P5zim9ACxyPFNKcnnHuBqMaXoJQphtiDXs94icuM4U7aw_Fdpe40qw=&amp;amp;uniplatform=NZKPT&amp;amp;language=CHS&lt;/_url&gt;&lt;_created&gt;65797357&lt;/_created&gt;&lt;_modified&gt;65797357&lt;/_modified&gt;&lt;_db_updated&gt;CNKI - Reference&lt;/_db_updated&gt;&lt;_collection_scope&gt;PKU;CSCD&lt;/_collection_scope&gt;&lt;_translated_author&gt;Lu, Yu hu;Liu, Chun zeng;Pan, Zi liang;Li, Ben yin;Cao, Wei dong&lt;/_translated_author&gt;&lt;/Details&gt;&lt;Extra&gt;&lt;DBUID&gt;{03752FAB-B361-4F66-989B-C711D9502F78}&lt;/DBUID&gt;&lt;/Extra&gt;&lt;/Item&gt;&lt;/References&gt;&lt;/Group&gt;&lt;/Citation&gt;_x000a_"/>
    <w:docVar w:name="NE.Ref{AB9E52F9-DAA6-4770-8BDB-AA8B5C7756A2}" w:val=" ADDIN NE.Ref.{AB9E52F9-DAA6-4770-8BDB-AA8B5C7756A2}&lt;Citation&gt;&lt;Group&gt;&lt;References&gt;&lt;Item&gt;&lt;ID&gt;1110&lt;/ID&gt;&lt;UID&gt;{5FD99C69-5348-43A6-91AA-0F80415CA4E4}&lt;/UID&gt;&lt;Title&gt;绿肥和稻草联合还田提高土壤有机质含量并稳定氮素供应&lt;/Title&gt;&lt;Template&gt;Journal Article&lt;/Template&gt;&lt;Star&gt;0&lt;/Star&gt;&lt;Tag&gt;0&lt;/Tag&gt;&lt;Author&gt;高菊生; 黄晶; 杨志长; 曹卫东; 张会民; 高鹏; 高学成&lt;/Author&gt;&lt;Year&gt;2020&lt;/Year&gt;&lt;Details&gt;&lt;_author_adr&gt;中国农业科学院农业资源与农业区划研究所/农业农村部植物营养与肥料重点实验室;中国农业科学院衡阳红壤试验站/祁阳农田生态系统国家野外试验站;湖南省农业科学院;&lt;/_author_adr&gt;&lt;_cited_count&gt;71&lt;/_cited_count&gt;&lt;_db_provider&gt;CNKI&lt;/_db_provider&gt;&lt;_isbn&gt;1008-505X&lt;/_isbn&gt;&lt;_issue&gt;03&lt;/_issue&gt;&lt;_journal&gt;植物营养与肥料学报&lt;/_journal&gt;&lt;_keywords&gt;绿肥;稻草;产量;土壤肥力;水稳性团聚体&lt;/_keywords&gt;&lt;_pages&gt;472-480&lt;/_pages&gt;&lt;_url&gt;https://kns.cnki.net/kcms2/article/abstract?v=e9e-pYHXmfeCr7RCt3qEwtqnwwrndSnpz8_Ftye6-UTJ2tXrgoDOVnOZh9_3ykgnWd1Q7vRJ4mIbBx2pR8_fXUE-hQSdrpYBCpHYbfNT5o0u3huTutOl8zBoxbP8_23W3x1Z1QCDZggdWUL8k5WYAmKxGJ-5-SVaEKQIPYtZ9edHD8XY6xxHg_yaDVUpgXyNDxy4MV2f9OE=&amp;amp;uniplatform=NZKPT&amp;amp;language=CHS&lt;/_url&gt;&lt;_volume&gt;26&lt;/_volume&gt;&lt;_created&gt;65797355&lt;/_created&gt;&lt;_modified&gt;65797355&lt;/_modified&gt;&lt;_db_updated&gt;CNKI - Reference&lt;/_db_updated&gt;&lt;_collection_scope&gt;PKU;CSCD&lt;/_collection_scope&gt;&lt;_translated_author&gt;Gao, Ju sheng;Huang, Jing;Yang, Zhi zhang;Cao, Wei dong;Zhang, Hui min;Gao, Peng;Gao, Xue cheng&lt;/_translated_author&gt;&lt;/Details&gt;&lt;Extra&gt;&lt;DBUID&gt;{03752FAB-B361-4F66-989B-C711D9502F78}&lt;/DBUID&gt;&lt;/Extra&gt;&lt;/Item&gt;&lt;/References&gt;&lt;/Group&gt;&lt;Group&gt;&lt;References&gt;&lt;Item&gt;&lt;ID&gt;1109&lt;/ID&gt;&lt;UID&gt;{0FAE2379-2246-4CE3-B134-E740F6557FE1}&lt;/UID&gt;&lt;Title&gt;稻草高茬-紫云英联合还田改善土壤肥力提高作物产量&lt;/Title&gt;&lt;Template&gt;Journal Article&lt;/Template&gt;&lt;Star&gt;0&lt;/Star&gt;&lt;Tag&gt;0&lt;/Tag&gt;&lt;Author&gt;周国朋; 谢志坚; 曹卫东; 徐昌旭; 白金顺; 曾闹华; 高嵩涓; 杨璐&lt;/Author&gt;&lt;Year&gt;2017&lt;/Year&gt;&lt;Details&gt;&lt;_author_adr&gt;中国农业科学院农业资源与农业区划研究所/农业部植物营养与肥料重点实验室;中国农业科学院研究生院;江西省农业科学院土壤肥料与资源环境研究所/农业部长江中下游作物生理生态与耕作重点实验室/国家红壤改良工程技术研究中心;青海大学青海省农林科学院土壤肥料研究所;&lt;/_author_adr&gt;&lt;_cited_count&gt;122&lt;/_cited_count&gt;&lt;_db_provider&gt;CNKI&lt;/_db_provider&gt;&lt;_isbn&gt;1002-6819&lt;/_isbn&gt;&lt;_issue&gt;23&lt;/_issue&gt;&lt;_journal&gt;农业工程学报&lt;/_journal&gt;&lt;_keywords&gt;绿肥;肥力;氮;稻;紫云英;产量&lt;/_keywords&gt;&lt;_pages&gt;157-163&lt;/_pages&gt;&lt;_url&gt;https://kns.cnki.net/kcms2/article/abstract?v=e9e-pYHXmffGTAhgCuu2PUbcAx9g0voP6l1tmaGxTxAxIhyLGlPdNLeWl-kvyVKltJg9X5I13pY4rk6qiA4brka5qU05BbGHITpHtneZQK-XoBU7v2dzriCZS5W4rF8qQ8-84OQpgJDjfNL6G-o86-w6wOE172HIY55cFGAxHdJn9O9aCa4OzMwr0fxT85PK-MfffOUxXPA=&amp;amp;uniplatform=NZKPT&amp;amp;language=CHS&lt;/_url&gt;&lt;_volume&gt;33&lt;/_volume&gt;&lt;_created&gt;65797354&lt;/_created&gt;&lt;_modified&gt;65797354&lt;/_modified&gt;&lt;_db_updated&gt;CNKI - Reference&lt;/_db_updated&gt;&lt;_translated_author&gt;Zhou, Guo peng;Xie, Zhi jian;Cao, Wei dong;Xu, Chang xu;Bai, Jin shun;Ceng, Nao hua;Gao, Song juan;Yang, Lu&lt;/_translated_author&gt;&lt;/Details&gt;&lt;Extra&gt;&lt;DBUID&gt;{03752FAB-B361-4F66-989B-C711D9502F78}&lt;/DBUID&gt;&lt;/Extra&gt;&lt;/Item&gt;&lt;/References&gt;&lt;/Group&gt;&lt;/Citation&gt;_x000a_"/>
    <w:docVar w:name="NE.Ref{B2B7C958-2B4A-4BBC-8A58-64C0EC2429CF}" w:val=" ADDIN NE.Ref.{B2B7C958-2B4A-4BBC-8A58-64C0EC2429CF}&lt;Citation&gt;&lt;Group&gt;&lt;References&gt;&lt;Item&gt;&lt;ID&gt;1115&lt;/ID&gt;&lt;UID&gt;{7F4DA91D-9FD9-40F1-B867-ED460CF0266D}&lt;/UID&gt;&lt;Title&gt;双季稻田冬种紫云英“双减双增”绿色高效循环农业模式&lt;/Title&gt;&lt;Template&gt;Journal Article&lt;/Template&gt;&lt;Star&gt;0&lt;/Star&gt;&lt;Tag&gt;0&lt;/Tag&gt;&lt;Author&gt;杨滨娟; 黄国勤&lt;/Author&gt;&lt;Year&gt;2018&lt;/Year&gt;&lt;Details&gt;&lt;_author_adr&gt;江西农业大学生态科学研究中心;&lt;/_author_adr&gt;&lt;_cited_count&gt;17&lt;/_cited_count&gt;&lt;_db_provider&gt;CNKI&lt;/_db_provider&gt;&lt;_doi&gt;10.15889/j.issn.1002-1302.2018.16.012&lt;/_doi&gt;&lt;_isbn&gt;1002-1302&lt;/_isbn&gt;&lt;_issue&gt;16&lt;/_issue&gt;&lt;_journal&gt;江苏农业科学&lt;/_journal&gt;&lt;_keywords&gt;紫云英;种植模式;双减;双增;稻田&lt;/_keywords&gt;&lt;_pages&gt;51-56&lt;/_pages&gt;&lt;_url&gt;https://link.cnki.net/doi/10.15889/j.issn.1002-1302.2018.16.012&lt;/_url&gt;&lt;_volume&gt;46&lt;/_volume&gt;&lt;_created&gt;65797358&lt;/_created&gt;&lt;_modified&gt;65797358&lt;/_modified&gt;&lt;_db_updated&gt;CNKI - Reference&lt;/_db_updated&gt;&lt;_collection_scope&gt;PKU&lt;/_collection_scope&gt;&lt;_translated_author&gt;Yang, Bin juan;Huang, Guo qin&lt;/_translated_author&gt;&lt;/Details&gt;&lt;Extra&gt;&lt;DBUID&gt;{03752FAB-B361-4F66-989B-C711D9502F78}&lt;/DBUID&gt;&lt;/Extra&gt;&lt;/Item&gt;&lt;/References&gt;&lt;/Group&gt;&lt;/Citation&gt;_x000a_"/>
    <w:docVar w:name="NE.Ref{D7DC1BCF-5539-48DC-9576-286C6D819B9B}" w:val=" ADDIN NE.Ref.{D7DC1BCF-5539-48DC-9576-286C6D819B9B}&lt;Citation&gt;&lt;Group&gt;&lt;References&gt;&lt;Item&gt;&lt;ID&gt;1103&lt;/ID&gt;&lt;UID&gt;{C27FF654-8229-4E6F-9029-72B6F572EEED}&lt;/UID&gt;&lt;Title&gt;Strong mitigation of greenhouse gas emission impact via aerobic short pre-digestion of green manure amended soils during rice cropping&lt;/Title&gt;&lt;Template&gt;Journal Article&lt;/Template&gt;&lt;Star&gt;0&lt;/Star&gt;&lt;Tag&gt;0&lt;/Tag&gt;&lt;Author&gt;Song, Hyeon Ji; Lee, Jin Ho; Canatoy, Ronley C; Lee, Jeong Gu; Kim, Pil Joo&lt;/Author&gt;&lt;Year&gt;2021&lt;/Year&gt;&lt;Details&gt;&lt;_alternate_title&gt;Science of The Total Environment&lt;/_alternate_title&gt;&lt;_date_display&gt;2021&lt;/_date_display&gt;&lt;_date&gt;2021-01-01&lt;/_date&gt;&lt;_doi&gt;https://doi.org/10.1016/j.scitotenv.2020.143193&lt;/_doi&gt;&lt;_isbn&gt;0048-9697&lt;/_isbn&gt;&lt;_journal&gt;Science of The Total Environment&lt;/_journal&gt;&lt;_keywords&gt;Rice paddy; Methane; Nitrous oxide; Net ecosystem carbon balance; Global warming potential&lt;/_keywords&gt;&lt;_pages&gt;143193&lt;/_pages&gt;&lt;_url&gt;https://www.sciencedirect.com/science/article/pii/S0048969720367243&lt;/_url&gt;&lt;_volume&gt;761&lt;/_volume&gt;&lt;_created&gt;65797348&lt;/_created&gt;&lt;_modified&gt;65797348&lt;/_modified&gt;&lt;_db_updated&gt;ScienceDirect&lt;/_db_updated&gt;&lt;_impact_factor&gt;   8.200&lt;/_impact_factor&gt;&lt;_social_category&gt;环境科学(1)&lt;/_social_category&gt;&lt;_collection_scope&gt;SCIE;EI&lt;/_collection_scope&gt;&lt;/Details&gt;&lt;Extra&gt;&lt;DBUID&gt;{03752FAB-B361-4F66-989B-C711D9502F78}&lt;/DBUID&gt;&lt;/Extra&gt;&lt;/Item&gt;&lt;/References&gt;&lt;/Group&gt;&lt;/Citation&gt;_x000a_"/>
    <w:docVar w:name="NE.Ref{FA77906B-E261-4D06-9A10-CC9715696D68}" w:val=" ADDIN NE.Ref.{FA77906B-E261-4D06-9A10-CC9715696D68}&lt;Citation&gt;&lt;Group&gt;&lt;References&gt;&lt;Item&gt;&lt;ID&gt;1112&lt;/ID&gt;&lt;UID&gt;{2F049F2B-BBD8-4A2F-81AB-752448CB9B05}&lt;/UID&gt;&lt;Title&gt;紫云英还田对江西早稻季田面水氮磷动态的影响&lt;/Title&gt;&lt;Template&gt;Journal Article&lt;/Template&gt;&lt;Star&gt;0&lt;/Star&gt;&lt;Tag&gt;0&lt;/Tag&gt;&lt;Author&gt;陈静蕊; 陈晓芬; 秦文婧; 王少先; 刘光荣; 曹卫东; 吕伟; 徐昌旭; 刘佳&lt;/Author&gt;&lt;Year&gt;2020&lt;/Year&gt;&lt;Details&gt;&lt;_author_adr&gt;江西省农业科学院土壤肥料与资源环境研究所/农业部长江中下游作物生理生态与耕作重点实验室/国家红壤改良工程技术研究中心;中国农业科学院农业资源与农业区划研究所;江西生物科技职业学院;&lt;/_author_adr&gt;&lt;_cited_count&gt;14&lt;/_cited_count&gt;&lt;_db_provider&gt;CNKI&lt;/_db_provider&gt;&lt;_doi&gt;10.16258/j.cnki.1674-5906.2020.07.009&lt;/_doi&gt;&lt;_isbn&gt;1674-5906&lt;/_isbn&gt;&lt;_issue&gt;07&lt;/_issue&gt;&lt;_journal&gt;生态环境学报&lt;/_journal&gt;&lt;_keywords&gt;早稻季;田面水;氮磷浓度;紫云英还田;化肥减施&lt;/_keywords&gt;&lt;_pages&gt;1352-1358&lt;/_pages&gt;&lt;_url&gt;https://link.cnki.net/doi/10.16258/j.cnki.1674-5906.2020.07.009&lt;/_url&gt;&lt;_volume&gt;29&lt;/_volume&gt;&lt;_created&gt;65797356&lt;/_created&gt;&lt;_modified&gt;65797356&lt;/_modified&gt;&lt;_db_updated&gt;CNKI - Reference&lt;/_db_updated&gt;&lt;_collection_scope&gt;PKU;CSCD&lt;/_collection_scope&gt;&lt;_translated_author&gt;Chen, Jing rui;Chen, Xiao fen;Qin, Wen jing;Wang, Shao xian;Liu, Guang rong;Cao, Wei dong;Lu, Wei;Xu, Chang xu;Liu, Jia&lt;/_translated_author&gt;&lt;/Details&gt;&lt;Extra&gt;&lt;DBUID&gt;{03752FAB-B361-4F66-989B-C711D9502F78}&lt;/DBUID&gt;&lt;/Extra&gt;&lt;/Item&gt;&lt;/References&gt;&lt;/Group&gt;&lt;/Citation&gt;_x000a_"/>
    <w:docVar w:name="ne_build" w:val="16.0.18623"/>
    <w:docVar w:name="ne_docsoft" w:val="MSWord"/>
    <w:docVar w:name="ne_docversion" w:val="NoteExpress 2.0"/>
    <w:docVar w:name="ne_os" w:val="Mircrosoft"/>
    <w:docVar w:name="ne_stylename" w:val="Agricultural Water Management"/>
  </w:docVars>
  <w:rsids>
    <w:rsidRoot w:val="00F3231C"/>
    <w:rsid w:val="00001219"/>
    <w:rsid w:val="00001A95"/>
    <w:rsid w:val="0000211B"/>
    <w:rsid w:val="0000415E"/>
    <w:rsid w:val="00004553"/>
    <w:rsid w:val="000049A3"/>
    <w:rsid w:val="000054A1"/>
    <w:rsid w:val="00007538"/>
    <w:rsid w:val="00013968"/>
    <w:rsid w:val="0001543B"/>
    <w:rsid w:val="00015809"/>
    <w:rsid w:val="000163D9"/>
    <w:rsid w:val="0002052E"/>
    <w:rsid w:val="00021E08"/>
    <w:rsid w:val="0002347B"/>
    <w:rsid w:val="00024F0B"/>
    <w:rsid w:val="0002502F"/>
    <w:rsid w:val="00025726"/>
    <w:rsid w:val="0002609C"/>
    <w:rsid w:val="000267DA"/>
    <w:rsid w:val="00026FA5"/>
    <w:rsid w:val="00033BD4"/>
    <w:rsid w:val="00034DD6"/>
    <w:rsid w:val="000404D3"/>
    <w:rsid w:val="0004143E"/>
    <w:rsid w:val="000444A7"/>
    <w:rsid w:val="000451C8"/>
    <w:rsid w:val="000501B6"/>
    <w:rsid w:val="00052159"/>
    <w:rsid w:val="00056005"/>
    <w:rsid w:val="00061993"/>
    <w:rsid w:val="000661B2"/>
    <w:rsid w:val="000663A4"/>
    <w:rsid w:val="0006653D"/>
    <w:rsid w:val="00071DFE"/>
    <w:rsid w:val="000735E6"/>
    <w:rsid w:val="00074AC0"/>
    <w:rsid w:val="0007563D"/>
    <w:rsid w:val="000821FA"/>
    <w:rsid w:val="000824E6"/>
    <w:rsid w:val="00083B3F"/>
    <w:rsid w:val="00085096"/>
    <w:rsid w:val="00085213"/>
    <w:rsid w:val="000853DC"/>
    <w:rsid w:val="00085624"/>
    <w:rsid w:val="00086BD3"/>
    <w:rsid w:val="000873BF"/>
    <w:rsid w:val="00087726"/>
    <w:rsid w:val="00092689"/>
    <w:rsid w:val="00096F0A"/>
    <w:rsid w:val="00097220"/>
    <w:rsid w:val="00097E43"/>
    <w:rsid w:val="000A0BA6"/>
    <w:rsid w:val="000A2B91"/>
    <w:rsid w:val="000A635D"/>
    <w:rsid w:val="000A645C"/>
    <w:rsid w:val="000A64A7"/>
    <w:rsid w:val="000A7464"/>
    <w:rsid w:val="000B0A70"/>
    <w:rsid w:val="000B1EEF"/>
    <w:rsid w:val="000B5528"/>
    <w:rsid w:val="000B56BF"/>
    <w:rsid w:val="000B6B37"/>
    <w:rsid w:val="000C0E46"/>
    <w:rsid w:val="000C3283"/>
    <w:rsid w:val="000C531A"/>
    <w:rsid w:val="000C620A"/>
    <w:rsid w:val="000C7AA3"/>
    <w:rsid w:val="000D3A2E"/>
    <w:rsid w:val="000D4F42"/>
    <w:rsid w:val="000D5448"/>
    <w:rsid w:val="000D5733"/>
    <w:rsid w:val="000D5EAF"/>
    <w:rsid w:val="000D6E26"/>
    <w:rsid w:val="000E1ECC"/>
    <w:rsid w:val="000E5AEC"/>
    <w:rsid w:val="000E6B09"/>
    <w:rsid w:val="000E76AC"/>
    <w:rsid w:val="000F0009"/>
    <w:rsid w:val="000F0F40"/>
    <w:rsid w:val="000F10F8"/>
    <w:rsid w:val="000F2E0C"/>
    <w:rsid w:val="000F3D0E"/>
    <w:rsid w:val="000F4432"/>
    <w:rsid w:val="000F5A2F"/>
    <w:rsid w:val="00100071"/>
    <w:rsid w:val="00103EE0"/>
    <w:rsid w:val="00104C12"/>
    <w:rsid w:val="00105DFA"/>
    <w:rsid w:val="00105F2F"/>
    <w:rsid w:val="00106156"/>
    <w:rsid w:val="0010630B"/>
    <w:rsid w:val="00107199"/>
    <w:rsid w:val="00107D02"/>
    <w:rsid w:val="00113C62"/>
    <w:rsid w:val="001144D2"/>
    <w:rsid w:val="0011676E"/>
    <w:rsid w:val="00125828"/>
    <w:rsid w:val="0012790B"/>
    <w:rsid w:val="00127D2E"/>
    <w:rsid w:val="001307B7"/>
    <w:rsid w:val="001342C0"/>
    <w:rsid w:val="001356DF"/>
    <w:rsid w:val="00137E28"/>
    <w:rsid w:val="001415BE"/>
    <w:rsid w:val="0014350E"/>
    <w:rsid w:val="00146F03"/>
    <w:rsid w:val="00150395"/>
    <w:rsid w:val="00152021"/>
    <w:rsid w:val="00153C42"/>
    <w:rsid w:val="0015412A"/>
    <w:rsid w:val="00154D08"/>
    <w:rsid w:val="001553FE"/>
    <w:rsid w:val="00155DCF"/>
    <w:rsid w:val="00160841"/>
    <w:rsid w:val="001640C5"/>
    <w:rsid w:val="00164C0A"/>
    <w:rsid w:val="00164C36"/>
    <w:rsid w:val="00165A20"/>
    <w:rsid w:val="00165D3D"/>
    <w:rsid w:val="00165DD5"/>
    <w:rsid w:val="00165E82"/>
    <w:rsid w:val="001660AA"/>
    <w:rsid w:val="0016673B"/>
    <w:rsid w:val="001720C5"/>
    <w:rsid w:val="001721BF"/>
    <w:rsid w:val="001721F9"/>
    <w:rsid w:val="001723EA"/>
    <w:rsid w:val="00172B72"/>
    <w:rsid w:val="0017609E"/>
    <w:rsid w:val="001779F1"/>
    <w:rsid w:val="00177F01"/>
    <w:rsid w:val="0018238D"/>
    <w:rsid w:val="001835D9"/>
    <w:rsid w:val="00183774"/>
    <w:rsid w:val="00183952"/>
    <w:rsid w:val="0018408D"/>
    <w:rsid w:val="00184A34"/>
    <w:rsid w:val="0018515D"/>
    <w:rsid w:val="0018733E"/>
    <w:rsid w:val="00187DC9"/>
    <w:rsid w:val="00194480"/>
    <w:rsid w:val="00197285"/>
    <w:rsid w:val="001975DA"/>
    <w:rsid w:val="00197C80"/>
    <w:rsid w:val="001A2683"/>
    <w:rsid w:val="001A3D9D"/>
    <w:rsid w:val="001A4A4C"/>
    <w:rsid w:val="001A5420"/>
    <w:rsid w:val="001A6099"/>
    <w:rsid w:val="001B06A0"/>
    <w:rsid w:val="001B1CBE"/>
    <w:rsid w:val="001B4715"/>
    <w:rsid w:val="001B546B"/>
    <w:rsid w:val="001C054A"/>
    <w:rsid w:val="001C11CE"/>
    <w:rsid w:val="001C1FB9"/>
    <w:rsid w:val="001C2D08"/>
    <w:rsid w:val="001C541C"/>
    <w:rsid w:val="001C6352"/>
    <w:rsid w:val="001C79AB"/>
    <w:rsid w:val="001D1298"/>
    <w:rsid w:val="001D1604"/>
    <w:rsid w:val="001D6BF4"/>
    <w:rsid w:val="001D7DF6"/>
    <w:rsid w:val="001E4B7E"/>
    <w:rsid w:val="001E5978"/>
    <w:rsid w:val="001E656E"/>
    <w:rsid w:val="001E6769"/>
    <w:rsid w:val="001F0F0C"/>
    <w:rsid w:val="001F13B8"/>
    <w:rsid w:val="001F24CC"/>
    <w:rsid w:val="001F31C6"/>
    <w:rsid w:val="001F5811"/>
    <w:rsid w:val="001F5C46"/>
    <w:rsid w:val="001F5CC5"/>
    <w:rsid w:val="00201AD7"/>
    <w:rsid w:val="00202064"/>
    <w:rsid w:val="002046F3"/>
    <w:rsid w:val="0020561F"/>
    <w:rsid w:val="00210460"/>
    <w:rsid w:val="00210B4E"/>
    <w:rsid w:val="00211109"/>
    <w:rsid w:val="00212D38"/>
    <w:rsid w:val="00212F8F"/>
    <w:rsid w:val="00213380"/>
    <w:rsid w:val="00213A17"/>
    <w:rsid w:val="00213B85"/>
    <w:rsid w:val="00214186"/>
    <w:rsid w:val="0022737F"/>
    <w:rsid w:val="00227F17"/>
    <w:rsid w:val="0023122A"/>
    <w:rsid w:val="00231D5D"/>
    <w:rsid w:val="00232AC6"/>
    <w:rsid w:val="00234431"/>
    <w:rsid w:val="002367AA"/>
    <w:rsid w:val="00237114"/>
    <w:rsid w:val="00240899"/>
    <w:rsid w:val="00242482"/>
    <w:rsid w:val="00244661"/>
    <w:rsid w:val="00250B2E"/>
    <w:rsid w:val="002517B3"/>
    <w:rsid w:val="002523BB"/>
    <w:rsid w:val="00252978"/>
    <w:rsid w:val="0025635B"/>
    <w:rsid w:val="00256807"/>
    <w:rsid w:val="00262D90"/>
    <w:rsid w:val="002636C5"/>
    <w:rsid w:val="002649C9"/>
    <w:rsid w:val="002652D0"/>
    <w:rsid w:val="00266868"/>
    <w:rsid w:val="00266AE6"/>
    <w:rsid w:val="00273E6F"/>
    <w:rsid w:val="002743E4"/>
    <w:rsid w:val="00280C05"/>
    <w:rsid w:val="00283E44"/>
    <w:rsid w:val="00283F32"/>
    <w:rsid w:val="002840E0"/>
    <w:rsid w:val="00284B9B"/>
    <w:rsid w:val="00284FE1"/>
    <w:rsid w:val="0028675C"/>
    <w:rsid w:val="00286CDD"/>
    <w:rsid w:val="00290A7B"/>
    <w:rsid w:val="002917F5"/>
    <w:rsid w:val="00292068"/>
    <w:rsid w:val="00292B25"/>
    <w:rsid w:val="00293154"/>
    <w:rsid w:val="002931C3"/>
    <w:rsid w:val="00293B14"/>
    <w:rsid w:val="00293FC3"/>
    <w:rsid w:val="0029472F"/>
    <w:rsid w:val="00294D3C"/>
    <w:rsid w:val="002961A2"/>
    <w:rsid w:val="00296405"/>
    <w:rsid w:val="002A16C6"/>
    <w:rsid w:val="002A31CE"/>
    <w:rsid w:val="002A5ABC"/>
    <w:rsid w:val="002A7E40"/>
    <w:rsid w:val="002B1879"/>
    <w:rsid w:val="002B3C54"/>
    <w:rsid w:val="002B4CC6"/>
    <w:rsid w:val="002C0A82"/>
    <w:rsid w:val="002C1F18"/>
    <w:rsid w:val="002C2AF3"/>
    <w:rsid w:val="002C78BF"/>
    <w:rsid w:val="002D02EB"/>
    <w:rsid w:val="002D1544"/>
    <w:rsid w:val="002D36E1"/>
    <w:rsid w:val="002D4942"/>
    <w:rsid w:val="002D4D36"/>
    <w:rsid w:val="002D5291"/>
    <w:rsid w:val="002D66D9"/>
    <w:rsid w:val="002D7FB9"/>
    <w:rsid w:val="002E02E2"/>
    <w:rsid w:val="002E192F"/>
    <w:rsid w:val="002E1CBA"/>
    <w:rsid w:val="002E59C3"/>
    <w:rsid w:val="002F1078"/>
    <w:rsid w:val="002F18F8"/>
    <w:rsid w:val="002F2F21"/>
    <w:rsid w:val="002F35F2"/>
    <w:rsid w:val="002F3784"/>
    <w:rsid w:val="002F452F"/>
    <w:rsid w:val="002F608D"/>
    <w:rsid w:val="002F6BA5"/>
    <w:rsid w:val="002F708D"/>
    <w:rsid w:val="00302616"/>
    <w:rsid w:val="00302EF2"/>
    <w:rsid w:val="00303CE2"/>
    <w:rsid w:val="00303ED0"/>
    <w:rsid w:val="00306873"/>
    <w:rsid w:val="0030708D"/>
    <w:rsid w:val="0031044B"/>
    <w:rsid w:val="00310AEC"/>
    <w:rsid w:val="00311399"/>
    <w:rsid w:val="00312CB6"/>
    <w:rsid w:val="0031470A"/>
    <w:rsid w:val="00314D80"/>
    <w:rsid w:val="00314F4E"/>
    <w:rsid w:val="00315AE0"/>
    <w:rsid w:val="00320C48"/>
    <w:rsid w:val="003227DF"/>
    <w:rsid w:val="00323B63"/>
    <w:rsid w:val="0032469F"/>
    <w:rsid w:val="00325FF2"/>
    <w:rsid w:val="0032696A"/>
    <w:rsid w:val="003279DB"/>
    <w:rsid w:val="00327FA5"/>
    <w:rsid w:val="00331BC3"/>
    <w:rsid w:val="003331DF"/>
    <w:rsid w:val="003338F1"/>
    <w:rsid w:val="003352C7"/>
    <w:rsid w:val="00336027"/>
    <w:rsid w:val="00336FD5"/>
    <w:rsid w:val="003400AF"/>
    <w:rsid w:val="003432B8"/>
    <w:rsid w:val="0034384F"/>
    <w:rsid w:val="0034492B"/>
    <w:rsid w:val="003450FC"/>
    <w:rsid w:val="00345A28"/>
    <w:rsid w:val="00346E88"/>
    <w:rsid w:val="00350FB5"/>
    <w:rsid w:val="00352005"/>
    <w:rsid w:val="00352BB0"/>
    <w:rsid w:val="00353292"/>
    <w:rsid w:val="00353BB2"/>
    <w:rsid w:val="00354963"/>
    <w:rsid w:val="0035501D"/>
    <w:rsid w:val="00355115"/>
    <w:rsid w:val="003564A3"/>
    <w:rsid w:val="003565B4"/>
    <w:rsid w:val="003609BD"/>
    <w:rsid w:val="00361D9D"/>
    <w:rsid w:val="00362683"/>
    <w:rsid w:val="003633AC"/>
    <w:rsid w:val="00363502"/>
    <w:rsid w:val="0036489D"/>
    <w:rsid w:val="00365DCB"/>
    <w:rsid w:val="003669F3"/>
    <w:rsid w:val="0037106C"/>
    <w:rsid w:val="00371449"/>
    <w:rsid w:val="00371A0C"/>
    <w:rsid w:val="00372A2B"/>
    <w:rsid w:val="00375460"/>
    <w:rsid w:val="0037767D"/>
    <w:rsid w:val="00377F7A"/>
    <w:rsid w:val="00382ACD"/>
    <w:rsid w:val="003831A0"/>
    <w:rsid w:val="00385A1D"/>
    <w:rsid w:val="003863B3"/>
    <w:rsid w:val="00390EEB"/>
    <w:rsid w:val="0039155E"/>
    <w:rsid w:val="003929FA"/>
    <w:rsid w:val="00392AF3"/>
    <w:rsid w:val="00393282"/>
    <w:rsid w:val="003940FA"/>
    <w:rsid w:val="00396566"/>
    <w:rsid w:val="003A0784"/>
    <w:rsid w:val="003A0A34"/>
    <w:rsid w:val="003A145A"/>
    <w:rsid w:val="003A1E48"/>
    <w:rsid w:val="003A7067"/>
    <w:rsid w:val="003B2466"/>
    <w:rsid w:val="003B4F91"/>
    <w:rsid w:val="003B6581"/>
    <w:rsid w:val="003C071E"/>
    <w:rsid w:val="003C17AF"/>
    <w:rsid w:val="003C1A32"/>
    <w:rsid w:val="003C1F8F"/>
    <w:rsid w:val="003C2639"/>
    <w:rsid w:val="003C264C"/>
    <w:rsid w:val="003C5C10"/>
    <w:rsid w:val="003C5CC0"/>
    <w:rsid w:val="003D4E6B"/>
    <w:rsid w:val="003D5896"/>
    <w:rsid w:val="003D7762"/>
    <w:rsid w:val="003E0521"/>
    <w:rsid w:val="003E2DD9"/>
    <w:rsid w:val="003E472B"/>
    <w:rsid w:val="003E5708"/>
    <w:rsid w:val="003F1FDE"/>
    <w:rsid w:val="003F2D23"/>
    <w:rsid w:val="003F3D86"/>
    <w:rsid w:val="003F4E34"/>
    <w:rsid w:val="003F522C"/>
    <w:rsid w:val="0040077F"/>
    <w:rsid w:val="00401241"/>
    <w:rsid w:val="00402086"/>
    <w:rsid w:val="004041E8"/>
    <w:rsid w:val="004056D7"/>
    <w:rsid w:val="00406713"/>
    <w:rsid w:val="00407C09"/>
    <w:rsid w:val="004101F5"/>
    <w:rsid w:val="00410319"/>
    <w:rsid w:val="00411532"/>
    <w:rsid w:val="004135F1"/>
    <w:rsid w:val="004139BD"/>
    <w:rsid w:val="0041667C"/>
    <w:rsid w:val="0042045D"/>
    <w:rsid w:val="00421732"/>
    <w:rsid w:val="00421AD0"/>
    <w:rsid w:val="004221AF"/>
    <w:rsid w:val="004237C5"/>
    <w:rsid w:val="00425862"/>
    <w:rsid w:val="004259A9"/>
    <w:rsid w:val="00426877"/>
    <w:rsid w:val="00426B7B"/>
    <w:rsid w:val="00427E42"/>
    <w:rsid w:val="004332F1"/>
    <w:rsid w:val="004347A3"/>
    <w:rsid w:val="00435B72"/>
    <w:rsid w:val="00436DFD"/>
    <w:rsid w:val="004370ED"/>
    <w:rsid w:val="0044162A"/>
    <w:rsid w:val="0044221B"/>
    <w:rsid w:val="00442F7A"/>
    <w:rsid w:val="004451FE"/>
    <w:rsid w:val="00446F9A"/>
    <w:rsid w:val="00450685"/>
    <w:rsid w:val="00450B7A"/>
    <w:rsid w:val="004516B4"/>
    <w:rsid w:val="00455429"/>
    <w:rsid w:val="004572EB"/>
    <w:rsid w:val="0045741A"/>
    <w:rsid w:val="004602F7"/>
    <w:rsid w:val="0046046B"/>
    <w:rsid w:val="00460757"/>
    <w:rsid w:val="00462E14"/>
    <w:rsid w:val="00463E6C"/>
    <w:rsid w:val="0046453E"/>
    <w:rsid w:val="00466B62"/>
    <w:rsid w:val="00471F9C"/>
    <w:rsid w:val="004723B2"/>
    <w:rsid w:val="00473C46"/>
    <w:rsid w:val="0047586A"/>
    <w:rsid w:val="004762C5"/>
    <w:rsid w:val="004803D5"/>
    <w:rsid w:val="00480D09"/>
    <w:rsid w:val="00480FEF"/>
    <w:rsid w:val="00481A5C"/>
    <w:rsid w:val="0048313D"/>
    <w:rsid w:val="00483161"/>
    <w:rsid w:val="004836FF"/>
    <w:rsid w:val="00483AFA"/>
    <w:rsid w:val="004845E8"/>
    <w:rsid w:val="004852D5"/>
    <w:rsid w:val="0048576D"/>
    <w:rsid w:val="00490682"/>
    <w:rsid w:val="00490C0A"/>
    <w:rsid w:val="00490CBF"/>
    <w:rsid w:val="004A0C89"/>
    <w:rsid w:val="004A25E4"/>
    <w:rsid w:val="004A35C1"/>
    <w:rsid w:val="004A3930"/>
    <w:rsid w:val="004A4882"/>
    <w:rsid w:val="004A6354"/>
    <w:rsid w:val="004A7362"/>
    <w:rsid w:val="004B0902"/>
    <w:rsid w:val="004B0D2E"/>
    <w:rsid w:val="004B0D6E"/>
    <w:rsid w:val="004B1368"/>
    <w:rsid w:val="004B1E69"/>
    <w:rsid w:val="004B2F1F"/>
    <w:rsid w:val="004B3A86"/>
    <w:rsid w:val="004B5861"/>
    <w:rsid w:val="004B6085"/>
    <w:rsid w:val="004B6912"/>
    <w:rsid w:val="004C1C48"/>
    <w:rsid w:val="004C20EB"/>
    <w:rsid w:val="004C3BF2"/>
    <w:rsid w:val="004C4CF5"/>
    <w:rsid w:val="004C54B5"/>
    <w:rsid w:val="004C5C50"/>
    <w:rsid w:val="004C69E4"/>
    <w:rsid w:val="004C7334"/>
    <w:rsid w:val="004D0E26"/>
    <w:rsid w:val="004D2A59"/>
    <w:rsid w:val="004D5A0B"/>
    <w:rsid w:val="004D6CC0"/>
    <w:rsid w:val="004E40B5"/>
    <w:rsid w:val="004E464E"/>
    <w:rsid w:val="004E4E8E"/>
    <w:rsid w:val="004E58BA"/>
    <w:rsid w:val="004E64EB"/>
    <w:rsid w:val="004E7C40"/>
    <w:rsid w:val="004F2CD3"/>
    <w:rsid w:val="004F3BF5"/>
    <w:rsid w:val="004F4CDE"/>
    <w:rsid w:val="004F7D66"/>
    <w:rsid w:val="00500646"/>
    <w:rsid w:val="005010D4"/>
    <w:rsid w:val="005011F0"/>
    <w:rsid w:val="00501838"/>
    <w:rsid w:val="005022E1"/>
    <w:rsid w:val="00502F8E"/>
    <w:rsid w:val="00503D72"/>
    <w:rsid w:val="00503FD6"/>
    <w:rsid w:val="00504829"/>
    <w:rsid w:val="00506231"/>
    <w:rsid w:val="00510554"/>
    <w:rsid w:val="00511570"/>
    <w:rsid w:val="005135B3"/>
    <w:rsid w:val="00513E4E"/>
    <w:rsid w:val="005147E1"/>
    <w:rsid w:val="0051526B"/>
    <w:rsid w:val="0051528C"/>
    <w:rsid w:val="00517A72"/>
    <w:rsid w:val="00523846"/>
    <w:rsid w:val="00524294"/>
    <w:rsid w:val="00531CB5"/>
    <w:rsid w:val="00531FC3"/>
    <w:rsid w:val="00534378"/>
    <w:rsid w:val="00534553"/>
    <w:rsid w:val="00536649"/>
    <w:rsid w:val="00536D81"/>
    <w:rsid w:val="005403B4"/>
    <w:rsid w:val="00540A61"/>
    <w:rsid w:val="00543287"/>
    <w:rsid w:val="00543B9B"/>
    <w:rsid w:val="00543BF4"/>
    <w:rsid w:val="00543C5E"/>
    <w:rsid w:val="00543CE0"/>
    <w:rsid w:val="005448E9"/>
    <w:rsid w:val="00547795"/>
    <w:rsid w:val="005502D2"/>
    <w:rsid w:val="00550420"/>
    <w:rsid w:val="00550C8E"/>
    <w:rsid w:val="00551C62"/>
    <w:rsid w:val="00551CE3"/>
    <w:rsid w:val="00553537"/>
    <w:rsid w:val="00553D6A"/>
    <w:rsid w:val="00554576"/>
    <w:rsid w:val="00554B5F"/>
    <w:rsid w:val="00555559"/>
    <w:rsid w:val="00555954"/>
    <w:rsid w:val="00555D64"/>
    <w:rsid w:val="00555FCB"/>
    <w:rsid w:val="00563240"/>
    <w:rsid w:val="005658FF"/>
    <w:rsid w:val="00575D0A"/>
    <w:rsid w:val="0057635C"/>
    <w:rsid w:val="0057659C"/>
    <w:rsid w:val="00577C25"/>
    <w:rsid w:val="00577E23"/>
    <w:rsid w:val="00580BAF"/>
    <w:rsid w:val="0058173A"/>
    <w:rsid w:val="0058766E"/>
    <w:rsid w:val="005879CE"/>
    <w:rsid w:val="005916F2"/>
    <w:rsid w:val="005932BC"/>
    <w:rsid w:val="00594B26"/>
    <w:rsid w:val="005975A0"/>
    <w:rsid w:val="00597F49"/>
    <w:rsid w:val="005A0292"/>
    <w:rsid w:val="005A2CA5"/>
    <w:rsid w:val="005A3CDF"/>
    <w:rsid w:val="005A5473"/>
    <w:rsid w:val="005A577B"/>
    <w:rsid w:val="005A5DD5"/>
    <w:rsid w:val="005A799D"/>
    <w:rsid w:val="005B0E05"/>
    <w:rsid w:val="005B11C0"/>
    <w:rsid w:val="005B2755"/>
    <w:rsid w:val="005B2C90"/>
    <w:rsid w:val="005B3A4B"/>
    <w:rsid w:val="005B5A86"/>
    <w:rsid w:val="005B63BE"/>
    <w:rsid w:val="005B6569"/>
    <w:rsid w:val="005B7233"/>
    <w:rsid w:val="005C031C"/>
    <w:rsid w:val="005C102D"/>
    <w:rsid w:val="005C1178"/>
    <w:rsid w:val="005C27E4"/>
    <w:rsid w:val="005C4E45"/>
    <w:rsid w:val="005C76BC"/>
    <w:rsid w:val="005D1052"/>
    <w:rsid w:val="005D1436"/>
    <w:rsid w:val="005D1732"/>
    <w:rsid w:val="005D4E65"/>
    <w:rsid w:val="005D4EC7"/>
    <w:rsid w:val="005E05B7"/>
    <w:rsid w:val="005E1091"/>
    <w:rsid w:val="005E1625"/>
    <w:rsid w:val="005E17DB"/>
    <w:rsid w:val="005E2546"/>
    <w:rsid w:val="005E4224"/>
    <w:rsid w:val="005E4498"/>
    <w:rsid w:val="005E5040"/>
    <w:rsid w:val="005E5B54"/>
    <w:rsid w:val="005E6945"/>
    <w:rsid w:val="005F059A"/>
    <w:rsid w:val="005F1B25"/>
    <w:rsid w:val="005F283A"/>
    <w:rsid w:val="005F2C49"/>
    <w:rsid w:val="005F3997"/>
    <w:rsid w:val="005F4C47"/>
    <w:rsid w:val="005F5824"/>
    <w:rsid w:val="0060190C"/>
    <w:rsid w:val="006019E8"/>
    <w:rsid w:val="0060236D"/>
    <w:rsid w:val="006045DF"/>
    <w:rsid w:val="00604635"/>
    <w:rsid w:val="006050F5"/>
    <w:rsid w:val="00605E05"/>
    <w:rsid w:val="0060647E"/>
    <w:rsid w:val="0060723A"/>
    <w:rsid w:val="00607834"/>
    <w:rsid w:val="00610873"/>
    <w:rsid w:val="00610B68"/>
    <w:rsid w:val="006112AD"/>
    <w:rsid w:val="006121C4"/>
    <w:rsid w:val="00613A95"/>
    <w:rsid w:val="0061539A"/>
    <w:rsid w:val="00616797"/>
    <w:rsid w:val="00617788"/>
    <w:rsid w:val="00617B0F"/>
    <w:rsid w:val="00620132"/>
    <w:rsid w:val="0062243C"/>
    <w:rsid w:val="0062398C"/>
    <w:rsid w:val="00626271"/>
    <w:rsid w:val="0062672C"/>
    <w:rsid w:val="00626A70"/>
    <w:rsid w:val="00627540"/>
    <w:rsid w:val="00627F0A"/>
    <w:rsid w:val="00631203"/>
    <w:rsid w:val="00632C87"/>
    <w:rsid w:val="00632D19"/>
    <w:rsid w:val="006349E1"/>
    <w:rsid w:val="00636695"/>
    <w:rsid w:val="00636B9C"/>
    <w:rsid w:val="00636DB6"/>
    <w:rsid w:val="00636EAE"/>
    <w:rsid w:val="00637CC5"/>
    <w:rsid w:val="006406D0"/>
    <w:rsid w:val="00640EDD"/>
    <w:rsid w:val="00641C4E"/>
    <w:rsid w:val="0064220D"/>
    <w:rsid w:val="00642FAE"/>
    <w:rsid w:val="00643E53"/>
    <w:rsid w:val="0064450C"/>
    <w:rsid w:val="006468FF"/>
    <w:rsid w:val="006500B6"/>
    <w:rsid w:val="00651007"/>
    <w:rsid w:val="0065583B"/>
    <w:rsid w:val="00655E12"/>
    <w:rsid w:val="006569B6"/>
    <w:rsid w:val="00656B92"/>
    <w:rsid w:val="00657B90"/>
    <w:rsid w:val="0066008C"/>
    <w:rsid w:val="00660185"/>
    <w:rsid w:val="00660BD0"/>
    <w:rsid w:val="00661074"/>
    <w:rsid w:val="00661105"/>
    <w:rsid w:val="0066313B"/>
    <w:rsid w:val="0066322D"/>
    <w:rsid w:val="006636DA"/>
    <w:rsid w:val="0066450E"/>
    <w:rsid w:val="00665C37"/>
    <w:rsid w:val="006666EF"/>
    <w:rsid w:val="00667770"/>
    <w:rsid w:val="00667F80"/>
    <w:rsid w:val="0067197F"/>
    <w:rsid w:val="00672371"/>
    <w:rsid w:val="0067247D"/>
    <w:rsid w:val="006773E6"/>
    <w:rsid w:val="0068001B"/>
    <w:rsid w:val="00680290"/>
    <w:rsid w:val="00682C52"/>
    <w:rsid w:val="006830AA"/>
    <w:rsid w:val="00684204"/>
    <w:rsid w:val="00684ECA"/>
    <w:rsid w:val="0068511B"/>
    <w:rsid w:val="00685A02"/>
    <w:rsid w:val="00690DD1"/>
    <w:rsid w:val="006921C5"/>
    <w:rsid w:val="00692D07"/>
    <w:rsid w:val="0069343B"/>
    <w:rsid w:val="00695055"/>
    <w:rsid w:val="006969D4"/>
    <w:rsid w:val="00696A28"/>
    <w:rsid w:val="00696A54"/>
    <w:rsid w:val="006A06A0"/>
    <w:rsid w:val="006A1BDA"/>
    <w:rsid w:val="006A1DE4"/>
    <w:rsid w:val="006A203F"/>
    <w:rsid w:val="006A2816"/>
    <w:rsid w:val="006A4AF9"/>
    <w:rsid w:val="006A4F0E"/>
    <w:rsid w:val="006A5541"/>
    <w:rsid w:val="006A55B5"/>
    <w:rsid w:val="006A654A"/>
    <w:rsid w:val="006A7650"/>
    <w:rsid w:val="006B1048"/>
    <w:rsid w:val="006B1133"/>
    <w:rsid w:val="006B1B15"/>
    <w:rsid w:val="006B1C7A"/>
    <w:rsid w:val="006B2B76"/>
    <w:rsid w:val="006B3174"/>
    <w:rsid w:val="006C2796"/>
    <w:rsid w:val="006C7398"/>
    <w:rsid w:val="006D2DB3"/>
    <w:rsid w:val="006D6FCC"/>
    <w:rsid w:val="006D78A9"/>
    <w:rsid w:val="006E0459"/>
    <w:rsid w:val="006E0734"/>
    <w:rsid w:val="006F1132"/>
    <w:rsid w:val="006F4141"/>
    <w:rsid w:val="006F4178"/>
    <w:rsid w:val="0070282F"/>
    <w:rsid w:val="007042AA"/>
    <w:rsid w:val="0070522C"/>
    <w:rsid w:val="00705231"/>
    <w:rsid w:val="007059F0"/>
    <w:rsid w:val="00705D56"/>
    <w:rsid w:val="00707B8C"/>
    <w:rsid w:val="00710CD2"/>
    <w:rsid w:val="00711A73"/>
    <w:rsid w:val="00711E95"/>
    <w:rsid w:val="007127D4"/>
    <w:rsid w:val="007127F9"/>
    <w:rsid w:val="00713B8E"/>
    <w:rsid w:val="0071499D"/>
    <w:rsid w:val="00716134"/>
    <w:rsid w:val="00716979"/>
    <w:rsid w:val="00721867"/>
    <w:rsid w:val="00724932"/>
    <w:rsid w:val="00724953"/>
    <w:rsid w:val="00726FFC"/>
    <w:rsid w:val="0073034B"/>
    <w:rsid w:val="00731702"/>
    <w:rsid w:val="00733702"/>
    <w:rsid w:val="00734C98"/>
    <w:rsid w:val="00735278"/>
    <w:rsid w:val="0073699A"/>
    <w:rsid w:val="00737D87"/>
    <w:rsid w:val="00737E42"/>
    <w:rsid w:val="007400F5"/>
    <w:rsid w:val="007430D9"/>
    <w:rsid w:val="00743D8D"/>
    <w:rsid w:val="00744E82"/>
    <w:rsid w:val="00746DA0"/>
    <w:rsid w:val="00751864"/>
    <w:rsid w:val="007518D6"/>
    <w:rsid w:val="00753DF7"/>
    <w:rsid w:val="00755CE8"/>
    <w:rsid w:val="00757CBC"/>
    <w:rsid w:val="007620FD"/>
    <w:rsid w:val="007623FC"/>
    <w:rsid w:val="007625E9"/>
    <w:rsid w:val="007638EB"/>
    <w:rsid w:val="00764425"/>
    <w:rsid w:val="00764F5E"/>
    <w:rsid w:val="00765B40"/>
    <w:rsid w:val="00765FD1"/>
    <w:rsid w:val="0076614D"/>
    <w:rsid w:val="00766853"/>
    <w:rsid w:val="007671C9"/>
    <w:rsid w:val="007703D2"/>
    <w:rsid w:val="0077579C"/>
    <w:rsid w:val="007761D6"/>
    <w:rsid w:val="00776D6E"/>
    <w:rsid w:val="00777142"/>
    <w:rsid w:val="0077787C"/>
    <w:rsid w:val="007809FB"/>
    <w:rsid w:val="00781D86"/>
    <w:rsid w:val="00781E6C"/>
    <w:rsid w:val="00781F1E"/>
    <w:rsid w:val="00785D5E"/>
    <w:rsid w:val="007904DC"/>
    <w:rsid w:val="00792901"/>
    <w:rsid w:val="007956DA"/>
    <w:rsid w:val="007A019D"/>
    <w:rsid w:val="007A0FFB"/>
    <w:rsid w:val="007A2EDF"/>
    <w:rsid w:val="007A45D9"/>
    <w:rsid w:val="007A6AC0"/>
    <w:rsid w:val="007A6B70"/>
    <w:rsid w:val="007A7829"/>
    <w:rsid w:val="007B1BDD"/>
    <w:rsid w:val="007B1EF3"/>
    <w:rsid w:val="007B376A"/>
    <w:rsid w:val="007B4B6A"/>
    <w:rsid w:val="007B61CC"/>
    <w:rsid w:val="007C1E51"/>
    <w:rsid w:val="007C22D0"/>
    <w:rsid w:val="007C2489"/>
    <w:rsid w:val="007C24F3"/>
    <w:rsid w:val="007C27FA"/>
    <w:rsid w:val="007C2F38"/>
    <w:rsid w:val="007C2FF5"/>
    <w:rsid w:val="007C4716"/>
    <w:rsid w:val="007C50B0"/>
    <w:rsid w:val="007C557B"/>
    <w:rsid w:val="007C5B93"/>
    <w:rsid w:val="007C5C31"/>
    <w:rsid w:val="007C6ED1"/>
    <w:rsid w:val="007C7A0B"/>
    <w:rsid w:val="007D0451"/>
    <w:rsid w:val="007D0694"/>
    <w:rsid w:val="007D16DA"/>
    <w:rsid w:val="007D2FE2"/>
    <w:rsid w:val="007D6F3A"/>
    <w:rsid w:val="007E6D06"/>
    <w:rsid w:val="007E703D"/>
    <w:rsid w:val="007E7658"/>
    <w:rsid w:val="007F0609"/>
    <w:rsid w:val="007F17E8"/>
    <w:rsid w:val="007F4837"/>
    <w:rsid w:val="007F647A"/>
    <w:rsid w:val="007F795A"/>
    <w:rsid w:val="007F7B2A"/>
    <w:rsid w:val="00801552"/>
    <w:rsid w:val="0080350B"/>
    <w:rsid w:val="0080368A"/>
    <w:rsid w:val="00810250"/>
    <w:rsid w:val="008108A9"/>
    <w:rsid w:val="00810910"/>
    <w:rsid w:val="00811A2D"/>
    <w:rsid w:val="00811A81"/>
    <w:rsid w:val="00815D70"/>
    <w:rsid w:val="00817431"/>
    <w:rsid w:val="00820593"/>
    <w:rsid w:val="00821688"/>
    <w:rsid w:val="00823CB4"/>
    <w:rsid w:val="0082548C"/>
    <w:rsid w:val="00830DE7"/>
    <w:rsid w:val="00831C20"/>
    <w:rsid w:val="00832082"/>
    <w:rsid w:val="00832CF0"/>
    <w:rsid w:val="008377BF"/>
    <w:rsid w:val="00837DE6"/>
    <w:rsid w:val="00840C0D"/>
    <w:rsid w:val="00841B06"/>
    <w:rsid w:val="008442CA"/>
    <w:rsid w:val="00847731"/>
    <w:rsid w:val="00854190"/>
    <w:rsid w:val="00854D82"/>
    <w:rsid w:val="008565E7"/>
    <w:rsid w:val="00860883"/>
    <w:rsid w:val="00860E67"/>
    <w:rsid w:val="0086156E"/>
    <w:rsid w:val="0086698D"/>
    <w:rsid w:val="00871980"/>
    <w:rsid w:val="00873837"/>
    <w:rsid w:val="0087426F"/>
    <w:rsid w:val="00874A04"/>
    <w:rsid w:val="00874D24"/>
    <w:rsid w:val="00875587"/>
    <w:rsid w:val="00875769"/>
    <w:rsid w:val="00875930"/>
    <w:rsid w:val="00876000"/>
    <w:rsid w:val="008767C4"/>
    <w:rsid w:val="00880AA9"/>
    <w:rsid w:val="008811D1"/>
    <w:rsid w:val="00882838"/>
    <w:rsid w:val="00883154"/>
    <w:rsid w:val="00883ACE"/>
    <w:rsid w:val="00885DCF"/>
    <w:rsid w:val="00885E75"/>
    <w:rsid w:val="008871F1"/>
    <w:rsid w:val="008877E2"/>
    <w:rsid w:val="00887D1F"/>
    <w:rsid w:val="0089012A"/>
    <w:rsid w:val="00890F5B"/>
    <w:rsid w:val="008910A2"/>
    <w:rsid w:val="00894926"/>
    <w:rsid w:val="00895965"/>
    <w:rsid w:val="00895A13"/>
    <w:rsid w:val="00895FBA"/>
    <w:rsid w:val="008A2440"/>
    <w:rsid w:val="008A3A0A"/>
    <w:rsid w:val="008A463C"/>
    <w:rsid w:val="008A5ABE"/>
    <w:rsid w:val="008A66BA"/>
    <w:rsid w:val="008A76A7"/>
    <w:rsid w:val="008B11EB"/>
    <w:rsid w:val="008B1C39"/>
    <w:rsid w:val="008B2573"/>
    <w:rsid w:val="008B2C67"/>
    <w:rsid w:val="008B2DBA"/>
    <w:rsid w:val="008B3385"/>
    <w:rsid w:val="008B3D61"/>
    <w:rsid w:val="008B41EE"/>
    <w:rsid w:val="008B6687"/>
    <w:rsid w:val="008C0B03"/>
    <w:rsid w:val="008C0CD0"/>
    <w:rsid w:val="008C1E70"/>
    <w:rsid w:val="008C36AA"/>
    <w:rsid w:val="008C3A04"/>
    <w:rsid w:val="008C4F35"/>
    <w:rsid w:val="008C6D66"/>
    <w:rsid w:val="008D0490"/>
    <w:rsid w:val="008D13CD"/>
    <w:rsid w:val="008D16A6"/>
    <w:rsid w:val="008D43E6"/>
    <w:rsid w:val="008E0773"/>
    <w:rsid w:val="008E1427"/>
    <w:rsid w:val="008E27FE"/>
    <w:rsid w:val="008E2FE9"/>
    <w:rsid w:val="008E33C7"/>
    <w:rsid w:val="008E3A7E"/>
    <w:rsid w:val="008E5BE8"/>
    <w:rsid w:val="008E6D5B"/>
    <w:rsid w:val="008F093F"/>
    <w:rsid w:val="008F1F40"/>
    <w:rsid w:val="008F24D4"/>
    <w:rsid w:val="008F64A3"/>
    <w:rsid w:val="00904353"/>
    <w:rsid w:val="00906C6C"/>
    <w:rsid w:val="009070C2"/>
    <w:rsid w:val="0090782F"/>
    <w:rsid w:val="00910697"/>
    <w:rsid w:val="0091164F"/>
    <w:rsid w:val="00912AE1"/>
    <w:rsid w:val="009148BD"/>
    <w:rsid w:val="00916947"/>
    <w:rsid w:val="009169B1"/>
    <w:rsid w:val="0092045C"/>
    <w:rsid w:val="00921274"/>
    <w:rsid w:val="00926168"/>
    <w:rsid w:val="00926D00"/>
    <w:rsid w:val="009316BA"/>
    <w:rsid w:val="00931E38"/>
    <w:rsid w:val="0093264E"/>
    <w:rsid w:val="009327D2"/>
    <w:rsid w:val="00933AE7"/>
    <w:rsid w:val="009343AE"/>
    <w:rsid w:val="00941041"/>
    <w:rsid w:val="00941980"/>
    <w:rsid w:val="0094596C"/>
    <w:rsid w:val="009504A7"/>
    <w:rsid w:val="00950C87"/>
    <w:rsid w:val="00954269"/>
    <w:rsid w:val="0095440E"/>
    <w:rsid w:val="00954EFA"/>
    <w:rsid w:val="0095711B"/>
    <w:rsid w:val="00957825"/>
    <w:rsid w:val="00961705"/>
    <w:rsid w:val="0096325B"/>
    <w:rsid w:val="00964E19"/>
    <w:rsid w:val="00965F17"/>
    <w:rsid w:val="00967E1B"/>
    <w:rsid w:val="00970486"/>
    <w:rsid w:val="0097109A"/>
    <w:rsid w:val="00975866"/>
    <w:rsid w:val="00981597"/>
    <w:rsid w:val="009836A2"/>
    <w:rsid w:val="00984466"/>
    <w:rsid w:val="0098691E"/>
    <w:rsid w:val="00986D0E"/>
    <w:rsid w:val="009957AF"/>
    <w:rsid w:val="009A1B36"/>
    <w:rsid w:val="009A1D00"/>
    <w:rsid w:val="009A3398"/>
    <w:rsid w:val="009A3674"/>
    <w:rsid w:val="009A4E43"/>
    <w:rsid w:val="009A53E5"/>
    <w:rsid w:val="009A5DB5"/>
    <w:rsid w:val="009A6779"/>
    <w:rsid w:val="009B15E5"/>
    <w:rsid w:val="009B61BB"/>
    <w:rsid w:val="009B77D1"/>
    <w:rsid w:val="009C03EB"/>
    <w:rsid w:val="009C5318"/>
    <w:rsid w:val="009C648C"/>
    <w:rsid w:val="009C7C87"/>
    <w:rsid w:val="009D1863"/>
    <w:rsid w:val="009D18C1"/>
    <w:rsid w:val="009D35A3"/>
    <w:rsid w:val="009D411C"/>
    <w:rsid w:val="009D506B"/>
    <w:rsid w:val="009D75DE"/>
    <w:rsid w:val="009D7759"/>
    <w:rsid w:val="009E00AE"/>
    <w:rsid w:val="009E08FE"/>
    <w:rsid w:val="009E12A7"/>
    <w:rsid w:val="009E1B96"/>
    <w:rsid w:val="009E6EE5"/>
    <w:rsid w:val="009F1E48"/>
    <w:rsid w:val="009F2566"/>
    <w:rsid w:val="009F3EA3"/>
    <w:rsid w:val="009F4546"/>
    <w:rsid w:val="009F649A"/>
    <w:rsid w:val="00A00527"/>
    <w:rsid w:val="00A0181A"/>
    <w:rsid w:val="00A03289"/>
    <w:rsid w:val="00A03448"/>
    <w:rsid w:val="00A03E50"/>
    <w:rsid w:val="00A0436A"/>
    <w:rsid w:val="00A051C6"/>
    <w:rsid w:val="00A1149B"/>
    <w:rsid w:val="00A11897"/>
    <w:rsid w:val="00A11AD3"/>
    <w:rsid w:val="00A12038"/>
    <w:rsid w:val="00A15BD8"/>
    <w:rsid w:val="00A15EED"/>
    <w:rsid w:val="00A16361"/>
    <w:rsid w:val="00A173E2"/>
    <w:rsid w:val="00A1754C"/>
    <w:rsid w:val="00A17569"/>
    <w:rsid w:val="00A17C08"/>
    <w:rsid w:val="00A21233"/>
    <w:rsid w:val="00A21323"/>
    <w:rsid w:val="00A2250E"/>
    <w:rsid w:val="00A23D93"/>
    <w:rsid w:val="00A247EC"/>
    <w:rsid w:val="00A249A8"/>
    <w:rsid w:val="00A26403"/>
    <w:rsid w:val="00A27B8D"/>
    <w:rsid w:val="00A3079F"/>
    <w:rsid w:val="00A31A69"/>
    <w:rsid w:val="00A32F14"/>
    <w:rsid w:val="00A333C1"/>
    <w:rsid w:val="00A34431"/>
    <w:rsid w:val="00A357F1"/>
    <w:rsid w:val="00A36A93"/>
    <w:rsid w:val="00A37688"/>
    <w:rsid w:val="00A40947"/>
    <w:rsid w:val="00A4405C"/>
    <w:rsid w:val="00A45245"/>
    <w:rsid w:val="00A464FF"/>
    <w:rsid w:val="00A46C36"/>
    <w:rsid w:val="00A46CFF"/>
    <w:rsid w:val="00A523A1"/>
    <w:rsid w:val="00A53339"/>
    <w:rsid w:val="00A57D94"/>
    <w:rsid w:val="00A609A1"/>
    <w:rsid w:val="00A61E4F"/>
    <w:rsid w:val="00A64C54"/>
    <w:rsid w:val="00A65754"/>
    <w:rsid w:val="00A6624C"/>
    <w:rsid w:val="00A70804"/>
    <w:rsid w:val="00A71810"/>
    <w:rsid w:val="00A718B9"/>
    <w:rsid w:val="00A71B72"/>
    <w:rsid w:val="00A72FAD"/>
    <w:rsid w:val="00A73468"/>
    <w:rsid w:val="00A74D6E"/>
    <w:rsid w:val="00A75652"/>
    <w:rsid w:val="00A7656B"/>
    <w:rsid w:val="00A7794E"/>
    <w:rsid w:val="00A779B1"/>
    <w:rsid w:val="00A80A09"/>
    <w:rsid w:val="00A8293F"/>
    <w:rsid w:val="00A82DF1"/>
    <w:rsid w:val="00A82FDE"/>
    <w:rsid w:val="00A85C1C"/>
    <w:rsid w:val="00A86BAF"/>
    <w:rsid w:val="00A8768D"/>
    <w:rsid w:val="00A95D25"/>
    <w:rsid w:val="00AA0F78"/>
    <w:rsid w:val="00AA4C36"/>
    <w:rsid w:val="00AB142C"/>
    <w:rsid w:val="00AB1650"/>
    <w:rsid w:val="00AB2A44"/>
    <w:rsid w:val="00AB2B46"/>
    <w:rsid w:val="00AB7183"/>
    <w:rsid w:val="00AC09D3"/>
    <w:rsid w:val="00AC18B7"/>
    <w:rsid w:val="00AC224F"/>
    <w:rsid w:val="00AC517C"/>
    <w:rsid w:val="00AC6ED4"/>
    <w:rsid w:val="00AC7B8F"/>
    <w:rsid w:val="00AD2288"/>
    <w:rsid w:val="00AD232E"/>
    <w:rsid w:val="00AD28F7"/>
    <w:rsid w:val="00AD476A"/>
    <w:rsid w:val="00AD4A96"/>
    <w:rsid w:val="00AD4FDC"/>
    <w:rsid w:val="00AD5A16"/>
    <w:rsid w:val="00AD696B"/>
    <w:rsid w:val="00AE0A3B"/>
    <w:rsid w:val="00AE32B9"/>
    <w:rsid w:val="00AE68B0"/>
    <w:rsid w:val="00AF07CD"/>
    <w:rsid w:val="00AF440D"/>
    <w:rsid w:val="00AF454F"/>
    <w:rsid w:val="00AF45BE"/>
    <w:rsid w:val="00AF5025"/>
    <w:rsid w:val="00AF544D"/>
    <w:rsid w:val="00AF59EA"/>
    <w:rsid w:val="00AF6672"/>
    <w:rsid w:val="00AF701E"/>
    <w:rsid w:val="00AF7A64"/>
    <w:rsid w:val="00AF7D2F"/>
    <w:rsid w:val="00AF7E4A"/>
    <w:rsid w:val="00B001C5"/>
    <w:rsid w:val="00B00742"/>
    <w:rsid w:val="00B039F9"/>
    <w:rsid w:val="00B04C5C"/>
    <w:rsid w:val="00B0754C"/>
    <w:rsid w:val="00B12C8A"/>
    <w:rsid w:val="00B13A77"/>
    <w:rsid w:val="00B169CE"/>
    <w:rsid w:val="00B16A9A"/>
    <w:rsid w:val="00B2066F"/>
    <w:rsid w:val="00B20775"/>
    <w:rsid w:val="00B21238"/>
    <w:rsid w:val="00B25450"/>
    <w:rsid w:val="00B2576D"/>
    <w:rsid w:val="00B259EC"/>
    <w:rsid w:val="00B2668D"/>
    <w:rsid w:val="00B26CAC"/>
    <w:rsid w:val="00B30435"/>
    <w:rsid w:val="00B35666"/>
    <w:rsid w:val="00B3617D"/>
    <w:rsid w:val="00B42EE8"/>
    <w:rsid w:val="00B4600E"/>
    <w:rsid w:val="00B4667D"/>
    <w:rsid w:val="00B50781"/>
    <w:rsid w:val="00B52F4D"/>
    <w:rsid w:val="00B53FB3"/>
    <w:rsid w:val="00B54724"/>
    <w:rsid w:val="00B55A5D"/>
    <w:rsid w:val="00B56060"/>
    <w:rsid w:val="00B57042"/>
    <w:rsid w:val="00B573EF"/>
    <w:rsid w:val="00B62913"/>
    <w:rsid w:val="00B64A49"/>
    <w:rsid w:val="00B66060"/>
    <w:rsid w:val="00B66408"/>
    <w:rsid w:val="00B66568"/>
    <w:rsid w:val="00B67B9E"/>
    <w:rsid w:val="00B67D68"/>
    <w:rsid w:val="00B67D6D"/>
    <w:rsid w:val="00B67DDF"/>
    <w:rsid w:val="00B75770"/>
    <w:rsid w:val="00B80470"/>
    <w:rsid w:val="00B81D44"/>
    <w:rsid w:val="00B85DB0"/>
    <w:rsid w:val="00B862F9"/>
    <w:rsid w:val="00B92C6E"/>
    <w:rsid w:val="00B93F0B"/>
    <w:rsid w:val="00B96C7C"/>
    <w:rsid w:val="00B970AF"/>
    <w:rsid w:val="00B9737C"/>
    <w:rsid w:val="00BA0348"/>
    <w:rsid w:val="00BA04AF"/>
    <w:rsid w:val="00BA1C52"/>
    <w:rsid w:val="00BA1D04"/>
    <w:rsid w:val="00BA342B"/>
    <w:rsid w:val="00BA436F"/>
    <w:rsid w:val="00BA66EC"/>
    <w:rsid w:val="00BA7F1F"/>
    <w:rsid w:val="00BA7FF8"/>
    <w:rsid w:val="00BB0692"/>
    <w:rsid w:val="00BB44C1"/>
    <w:rsid w:val="00BB499A"/>
    <w:rsid w:val="00BC0715"/>
    <w:rsid w:val="00BC080E"/>
    <w:rsid w:val="00BC13B1"/>
    <w:rsid w:val="00BC24FC"/>
    <w:rsid w:val="00BC6F3A"/>
    <w:rsid w:val="00BD0265"/>
    <w:rsid w:val="00BD07CD"/>
    <w:rsid w:val="00BD0CCE"/>
    <w:rsid w:val="00BD1415"/>
    <w:rsid w:val="00BD2659"/>
    <w:rsid w:val="00BD4508"/>
    <w:rsid w:val="00BD5817"/>
    <w:rsid w:val="00BD5B5E"/>
    <w:rsid w:val="00BD5CAD"/>
    <w:rsid w:val="00BD6C38"/>
    <w:rsid w:val="00BD722C"/>
    <w:rsid w:val="00BD7508"/>
    <w:rsid w:val="00BE0983"/>
    <w:rsid w:val="00BE0BE8"/>
    <w:rsid w:val="00BE2687"/>
    <w:rsid w:val="00BE2A0A"/>
    <w:rsid w:val="00BE2E2C"/>
    <w:rsid w:val="00BE47D0"/>
    <w:rsid w:val="00BE4D22"/>
    <w:rsid w:val="00BE55C7"/>
    <w:rsid w:val="00BE6C8E"/>
    <w:rsid w:val="00BE7785"/>
    <w:rsid w:val="00BE77B9"/>
    <w:rsid w:val="00BF4689"/>
    <w:rsid w:val="00BF7454"/>
    <w:rsid w:val="00C00FE0"/>
    <w:rsid w:val="00C01193"/>
    <w:rsid w:val="00C0345D"/>
    <w:rsid w:val="00C03E45"/>
    <w:rsid w:val="00C06B32"/>
    <w:rsid w:val="00C06C08"/>
    <w:rsid w:val="00C07D52"/>
    <w:rsid w:val="00C1090C"/>
    <w:rsid w:val="00C10F23"/>
    <w:rsid w:val="00C10FB5"/>
    <w:rsid w:val="00C13AF5"/>
    <w:rsid w:val="00C146AC"/>
    <w:rsid w:val="00C1765A"/>
    <w:rsid w:val="00C21901"/>
    <w:rsid w:val="00C272ED"/>
    <w:rsid w:val="00C2746C"/>
    <w:rsid w:val="00C274B1"/>
    <w:rsid w:val="00C27B7C"/>
    <w:rsid w:val="00C300F3"/>
    <w:rsid w:val="00C30BA4"/>
    <w:rsid w:val="00C33ADC"/>
    <w:rsid w:val="00C37B2F"/>
    <w:rsid w:val="00C405CC"/>
    <w:rsid w:val="00C43BC6"/>
    <w:rsid w:val="00C44309"/>
    <w:rsid w:val="00C4462F"/>
    <w:rsid w:val="00C44E43"/>
    <w:rsid w:val="00C4689F"/>
    <w:rsid w:val="00C47401"/>
    <w:rsid w:val="00C5083C"/>
    <w:rsid w:val="00C51DDC"/>
    <w:rsid w:val="00C54019"/>
    <w:rsid w:val="00C55886"/>
    <w:rsid w:val="00C56BE4"/>
    <w:rsid w:val="00C64CB4"/>
    <w:rsid w:val="00C67597"/>
    <w:rsid w:val="00C67E55"/>
    <w:rsid w:val="00C70AC3"/>
    <w:rsid w:val="00C70CAF"/>
    <w:rsid w:val="00C716C3"/>
    <w:rsid w:val="00C7274E"/>
    <w:rsid w:val="00C74735"/>
    <w:rsid w:val="00C7595B"/>
    <w:rsid w:val="00C767D7"/>
    <w:rsid w:val="00C76F2E"/>
    <w:rsid w:val="00C7739A"/>
    <w:rsid w:val="00C77B6C"/>
    <w:rsid w:val="00C80F3A"/>
    <w:rsid w:val="00C821C2"/>
    <w:rsid w:val="00C8234B"/>
    <w:rsid w:val="00C86910"/>
    <w:rsid w:val="00C90086"/>
    <w:rsid w:val="00C91859"/>
    <w:rsid w:val="00C93476"/>
    <w:rsid w:val="00C93B66"/>
    <w:rsid w:val="00C95D21"/>
    <w:rsid w:val="00C960A0"/>
    <w:rsid w:val="00C960E8"/>
    <w:rsid w:val="00CA084C"/>
    <w:rsid w:val="00CA08E7"/>
    <w:rsid w:val="00CA2257"/>
    <w:rsid w:val="00CA25DE"/>
    <w:rsid w:val="00CA65E8"/>
    <w:rsid w:val="00CB159A"/>
    <w:rsid w:val="00CB2FA3"/>
    <w:rsid w:val="00CB3004"/>
    <w:rsid w:val="00CB4407"/>
    <w:rsid w:val="00CB4FB7"/>
    <w:rsid w:val="00CB7488"/>
    <w:rsid w:val="00CB7800"/>
    <w:rsid w:val="00CC17A6"/>
    <w:rsid w:val="00CC2B7A"/>
    <w:rsid w:val="00CC3633"/>
    <w:rsid w:val="00CC476D"/>
    <w:rsid w:val="00CC74BD"/>
    <w:rsid w:val="00CC77FE"/>
    <w:rsid w:val="00CC7978"/>
    <w:rsid w:val="00CD0038"/>
    <w:rsid w:val="00CD24FB"/>
    <w:rsid w:val="00CD2D64"/>
    <w:rsid w:val="00CD533A"/>
    <w:rsid w:val="00CD5B9C"/>
    <w:rsid w:val="00CD67E4"/>
    <w:rsid w:val="00CD759C"/>
    <w:rsid w:val="00CE037B"/>
    <w:rsid w:val="00CE1E62"/>
    <w:rsid w:val="00CE30C9"/>
    <w:rsid w:val="00CE4D84"/>
    <w:rsid w:val="00CF30B0"/>
    <w:rsid w:val="00CF4612"/>
    <w:rsid w:val="00CF4F49"/>
    <w:rsid w:val="00CF62E3"/>
    <w:rsid w:val="00CF6495"/>
    <w:rsid w:val="00D01F25"/>
    <w:rsid w:val="00D04D0B"/>
    <w:rsid w:val="00D11443"/>
    <w:rsid w:val="00D11993"/>
    <w:rsid w:val="00D12A64"/>
    <w:rsid w:val="00D12F8D"/>
    <w:rsid w:val="00D13010"/>
    <w:rsid w:val="00D13698"/>
    <w:rsid w:val="00D15D22"/>
    <w:rsid w:val="00D178BA"/>
    <w:rsid w:val="00D20AA0"/>
    <w:rsid w:val="00D20D71"/>
    <w:rsid w:val="00D231F2"/>
    <w:rsid w:val="00D24BDB"/>
    <w:rsid w:val="00D25FF3"/>
    <w:rsid w:val="00D272A2"/>
    <w:rsid w:val="00D32B52"/>
    <w:rsid w:val="00D32E47"/>
    <w:rsid w:val="00D32FC0"/>
    <w:rsid w:val="00D33EE2"/>
    <w:rsid w:val="00D3477E"/>
    <w:rsid w:val="00D40AB0"/>
    <w:rsid w:val="00D40AD2"/>
    <w:rsid w:val="00D412AC"/>
    <w:rsid w:val="00D41FAA"/>
    <w:rsid w:val="00D4588C"/>
    <w:rsid w:val="00D45B7A"/>
    <w:rsid w:val="00D4732C"/>
    <w:rsid w:val="00D5413D"/>
    <w:rsid w:val="00D55548"/>
    <w:rsid w:val="00D56CC8"/>
    <w:rsid w:val="00D574FF"/>
    <w:rsid w:val="00D57E86"/>
    <w:rsid w:val="00D61B19"/>
    <w:rsid w:val="00D61D53"/>
    <w:rsid w:val="00D63C90"/>
    <w:rsid w:val="00D64832"/>
    <w:rsid w:val="00D64C4E"/>
    <w:rsid w:val="00D7337E"/>
    <w:rsid w:val="00D735BA"/>
    <w:rsid w:val="00D74139"/>
    <w:rsid w:val="00D75282"/>
    <w:rsid w:val="00D83078"/>
    <w:rsid w:val="00D8407E"/>
    <w:rsid w:val="00D8462C"/>
    <w:rsid w:val="00D846AB"/>
    <w:rsid w:val="00D85102"/>
    <w:rsid w:val="00D90B9E"/>
    <w:rsid w:val="00D90FEC"/>
    <w:rsid w:val="00D93846"/>
    <w:rsid w:val="00D94CEC"/>
    <w:rsid w:val="00D96A1A"/>
    <w:rsid w:val="00D97302"/>
    <w:rsid w:val="00D97A6A"/>
    <w:rsid w:val="00DA1AF9"/>
    <w:rsid w:val="00DA1B34"/>
    <w:rsid w:val="00DA2451"/>
    <w:rsid w:val="00DA38EB"/>
    <w:rsid w:val="00DA3CE0"/>
    <w:rsid w:val="00DA49E5"/>
    <w:rsid w:val="00DB3A83"/>
    <w:rsid w:val="00DB7414"/>
    <w:rsid w:val="00DB766C"/>
    <w:rsid w:val="00DC02C3"/>
    <w:rsid w:val="00DC1D1B"/>
    <w:rsid w:val="00DC5262"/>
    <w:rsid w:val="00DC60CE"/>
    <w:rsid w:val="00DC7251"/>
    <w:rsid w:val="00DD3FD7"/>
    <w:rsid w:val="00DD503E"/>
    <w:rsid w:val="00DE0468"/>
    <w:rsid w:val="00DE1503"/>
    <w:rsid w:val="00DE39BA"/>
    <w:rsid w:val="00DE42CE"/>
    <w:rsid w:val="00DE455D"/>
    <w:rsid w:val="00DE597E"/>
    <w:rsid w:val="00DF1932"/>
    <w:rsid w:val="00DF1993"/>
    <w:rsid w:val="00DF3A64"/>
    <w:rsid w:val="00E007A3"/>
    <w:rsid w:val="00E01C86"/>
    <w:rsid w:val="00E01C89"/>
    <w:rsid w:val="00E04A48"/>
    <w:rsid w:val="00E04BBC"/>
    <w:rsid w:val="00E05D17"/>
    <w:rsid w:val="00E0620C"/>
    <w:rsid w:val="00E11D75"/>
    <w:rsid w:val="00E13660"/>
    <w:rsid w:val="00E138E2"/>
    <w:rsid w:val="00E14C9C"/>
    <w:rsid w:val="00E209F0"/>
    <w:rsid w:val="00E20E1E"/>
    <w:rsid w:val="00E21005"/>
    <w:rsid w:val="00E22A8E"/>
    <w:rsid w:val="00E24858"/>
    <w:rsid w:val="00E2585F"/>
    <w:rsid w:val="00E26D93"/>
    <w:rsid w:val="00E312DF"/>
    <w:rsid w:val="00E33615"/>
    <w:rsid w:val="00E33A03"/>
    <w:rsid w:val="00E35144"/>
    <w:rsid w:val="00E35613"/>
    <w:rsid w:val="00E37C2A"/>
    <w:rsid w:val="00E42EC4"/>
    <w:rsid w:val="00E4453E"/>
    <w:rsid w:val="00E474E4"/>
    <w:rsid w:val="00E50618"/>
    <w:rsid w:val="00E50F47"/>
    <w:rsid w:val="00E510BC"/>
    <w:rsid w:val="00E544E0"/>
    <w:rsid w:val="00E602E6"/>
    <w:rsid w:val="00E616BD"/>
    <w:rsid w:val="00E62EEA"/>
    <w:rsid w:val="00E63427"/>
    <w:rsid w:val="00E64EE0"/>
    <w:rsid w:val="00E65310"/>
    <w:rsid w:val="00E66366"/>
    <w:rsid w:val="00E66B04"/>
    <w:rsid w:val="00E7410C"/>
    <w:rsid w:val="00E74C06"/>
    <w:rsid w:val="00E75E82"/>
    <w:rsid w:val="00E76220"/>
    <w:rsid w:val="00E77673"/>
    <w:rsid w:val="00E77E61"/>
    <w:rsid w:val="00E802CD"/>
    <w:rsid w:val="00E80B68"/>
    <w:rsid w:val="00E81269"/>
    <w:rsid w:val="00E8162F"/>
    <w:rsid w:val="00E82825"/>
    <w:rsid w:val="00E82D7E"/>
    <w:rsid w:val="00E83F03"/>
    <w:rsid w:val="00E86027"/>
    <w:rsid w:val="00E912A9"/>
    <w:rsid w:val="00E92C14"/>
    <w:rsid w:val="00E9453B"/>
    <w:rsid w:val="00E95C34"/>
    <w:rsid w:val="00E965BB"/>
    <w:rsid w:val="00E96655"/>
    <w:rsid w:val="00E967B8"/>
    <w:rsid w:val="00E96AAE"/>
    <w:rsid w:val="00EA080C"/>
    <w:rsid w:val="00EA36DC"/>
    <w:rsid w:val="00EA4E53"/>
    <w:rsid w:val="00EB1420"/>
    <w:rsid w:val="00EB2045"/>
    <w:rsid w:val="00EB2CCA"/>
    <w:rsid w:val="00EB592F"/>
    <w:rsid w:val="00EB73C9"/>
    <w:rsid w:val="00EB74DE"/>
    <w:rsid w:val="00EC0248"/>
    <w:rsid w:val="00EC0DF9"/>
    <w:rsid w:val="00EC3336"/>
    <w:rsid w:val="00EC37EF"/>
    <w:rsid w:val="00EC3CB0"/>
    <w:rsid w:val="00EC3FED"/>
    <w:rsid w:val="00EC6651"/>
    <w:rsid w:val="00EC6985"/>
    <w:rsid w:val="00EC69C0"/>
    <w:rsid w:val="00EC7A14"/>
    <w:rsid w:val="00EC7A70"/>
    <w:rsid w:val="00EC7D4A"/>
    <w:rsid w:val="00ED1883"/>
    <w:rsid w:val="00ED22C8"/>
    <w:rsid w:val="00ED2D4E"/>
    <w:rsid w:val="00ED3010"/>
    <w:rsid w:val="00ED521D"/>
    <w:rsid w:val="00ED532C"/>
    <w:rsid w:val="00ED63D6"/>
    <w:rsid w:val="00ED6F6F"/>
    <w:rsid w:val="00EE00B1"/>
    <w:rsid w:val="00EE04F8"/>
    <w:rsid w:val="00EE21BA"/>
    <w:rsid w:val="00EE29A7"/>
    <w:rsid w:val="00EE4D97"/>
    <w:rsid w:val="00EF0C42"/>
    <w:rsid w:val="00EF466D"/>
    <w:rsid w:val="00EF5B84"/>
    <w:rsid w:val="00EF670C"/>
    <w:rsid w:val="00F001CA"/>
    <w:rsid w:val="00F00E07"/>
    <w:rsid w:val="00F035A1"/>
    <w:rsid w:val="00F072A0"/>
    <w:rsid w:val="00F07E9A"/>
    <w:rsid w:val="00F13D35"/>
    <w:rsid w:val="00F14324"/>
    <w:rsid w:val="00F14B24"/>
    <w:rsid w:val="00F14EA7"/>
    <w:rsid w:val="00F156E6"/>
    <w:rsid w:val="00F15EC2"/>
    <w:rsid w:val="00F201C7"/>
    <w:rsid w:val="00F20DFA"/>
    <w:rsid w:val="00F20EAB"/>
    <w:rsid w:val="00F22ED3"/>
    <w:rsid w:val="00F23029"/>
    <w:rsid w:val="00F24CE5"/>
    <w:rsid w:val="00F25782"/>
    <w:rsid w:val="00F25F80"/>
    <w:rsid w:val="00F26F14"/>
    <w:rsid w:val="00F3122D"/>
    <w:rsid w:val="00F3231C"/>
    <w:rsid w:val="00F35AF8"/>
    <w:rsid w:val="00F37329"/>
    <w:rsid w:val="00F37AB5"/>
    <w:rsid w:val="00F42123"/>
    <w:rsid w:val="00F42D71"/>
    <w:rsid w:val="00F45345"/>
    <w:rsid w:val="00F461CD"/>
    <w:rsid w:val="00F464A0"/>
    <w:rsid w:val="00F47734"/>
    <w:rsid w:val="00F52BEB"/>
    <w:rsid w:val="00F53D6A"/>
    <w:rsid w:val="00F54AB7"/>
    <w:rsid w:val="00F54D83"/>
    <w:rsid w:val="00F54ED4"/>
    <w:rsid w:val="00F55C9D"/>
    <w:rsid w:val="00F568DA"/>
    <w:rsid w:val="00F56AB5"/>
    <w:rsid w:val="00F61F9C"/>
    <w:rsid w:val="00F634CC"/>
    <w:rsid w:val="00F64481"/>
    <w:rsid w:val="00F65274"/>
    <w:rsid w:val="00F663FD"/>
    <w:rsid w:val="00F667D4"/>
    <w:rsid w:val="00F67F1C"/>
    <w:rsid w:val="00F70478"/>
    <w:rsid w:val="00F705F2"/>
    <w:rsid w:val="00F70669"/>
    <w:rsid w:val="00F767A8"/>
    <w:rsid w:val="00F77C58"/>
    <w:rsid w:val="00F77FBB"/>
    <w:rsid w:val="00F80564"/>
    <w:rsid w:val="00F806F0"/>
    <w:rsid w:val="00F8142E"/>
    <w:rsid w:val="00F82433"/>
    <w:rsid w:val="00F83556"/>
    <w:rsid w:val="00F8386A"/>
    <w:rsid w:val="00F84BA1"/>
    <w:rsid w:val="00F85C49"/>
    <w:rsid w:val="00F923A1"/>
    <w:rsid w:val="00F927C5"/>
    <w:rsid w:val="00F9288C"/>
    <w:rsid w:val="00F93D1B"/>
    <w:rsid w:val="00F9464F"/>
    <w:rsid w:val="00F947E5"/>
    <w:rsid w:val="00F95731"/>
    <w:rsid w:val="00F96149"/>
    <w:rsid w:val="00F965A4"/>
    <w:rsid w:val="00F972BD"/>
    <w:rsid w:val="00F97F09"/>
    <w:rsid w:val="00FA24F6"/>
    <w:rsid w:val="00FA46FD"/>
    <w:rsid w:val="00FA52B1"/>
    <w:rsid w:val="00FA5ECC"/>
    <w:rsid w:val="00FA6187"/>
    <w:rsid w:val="00FA74D6"/>
    <w:rsid w:val="00FB0F7F"/>
    <w:rsid w:val="00FB1009"/>
    <w:rsid w:val="00FB46CB"/>
    <w:rsid w:val="00FB63A1"/>
    <w:rsid w:val="00FB663A"/>
    <w:rsid w:val="00FB7E6D"/>
    <w:rsid w:val="00FC1860"/>
    <w:rsid w:val="00FC6D0F"/>
    <w:rsid w:val="00FD00F2"/>
    <w:rsid w:val="00FD10A4"/>
    <w:rsid w:val="00FD56AC"/>
    <w:rsid w:val="00FD6930"/>
    <w:rsid w:val="00FD7425"/>
    <w:rsid w:val="00FD7491"/>
    <w:rsid w:val="00FD7A3D"/>
    <w:rsid w:val="00FD7F91"/>
    <w:rsid w:val="00FE0091"/>
    <w:rsid w:val="00FE4783"/>
    <w:rsid w:val="00FE4B03"/>
    <w:rsid w:val="00FE52E0"/>
    <w:rsid w:val="00FE6FAD"/>
    <w:rsid w:val="00FE73A0"/>
    <w:rsid w:val="00FE7890"/>
    <w:rsid w:val="00FF0745"/>
    <w:rsid w:val="00FF0D60"/>
    <w:rsid w:val="00FF23F1"/>
    <w:rsid w:val="00FF53CB"/>
    <w:rsid w:val="00FF5ACE"/>
    <w:rsid w:val="00FF681C"/>
    <w:rsid w:val="01094B94"/>
    <w:rsid w:val="030E3548"/>
    <w:rsid w:val="031B4121"/>
    <w:rsid w:val="035B28DA"/>
    <w:rsid w:val="051A083F"/>
    <w:rsid w:val="065F4761"/>
    <w:rsid w:val="08726929"/>
    <w:rsid w:val="09151462"/>
    <w:rsid w:val="093F4B41"/>
    <w:rsid w:val="0AD53DAD"/>
    <w:rsid w:val="0B8841EF"/>
    <w:rsid w:val="0C1817B1"/>
    <w:rsid w:val="0D154336"/>
    <w:rsid w:val="0E137B3C"/>
    <w:rsid w:val="0FB37AA5"/>
    <w:rsid w:val="10DB4CA3"/>
    <w:rsid w:val="16113A6D"/>
    <w:rsid w:val="1B43398A"/>
    <w:rsid w:val="1C8C33EA"/>
    <w:rsid w:val="1D9726F0"/>
    <w:rsid w:val="1DCA6E3F"/>
    <w:rsid w:val="1E83610E"/>
    <w:rsid w:val="203F2782"/>
    <w:rsid w:val="209D487B"/>
    <w:rsid w:val="21FB1A1E"/>
    <w:rsid w:val="23AC1C64"/>
    <w:rsid w:val="23E06A63"/>
    <w:rsid w:val="25F206E2"/>
    <w:rsid w:val="269D38EB"/>
    <w:rsid w:val="27845BB1"/>
    <w:rsid w:val="28A246BB"/>
    <w:rsid w:val="2B8165C2"/>
    <w:rsid w:val="2BC51654"/>
    <w:rsid w:val="2C4A3CF2"/>
    <w:rsid w:val="2DAF1886"/>
    <w:rsid w:val="2EF821F5"/>
    <w:rsid w:val="335D1EB2"/>
    <w:rsid w:val="340F3926"/>
    <w:rsid w:val="35050A1C"/>
    <w:rsid w:val="36386B9D"/>
    <w:rsid w:val="37826121"/>
    <w:rsid w:val="38BE416D"/>
    <w:rsid w:val="395B4E7C"/>
    <w:rsid w:val="3A1523F5"/>
    <w:rsid w:val="3A435F45"/>
    <w:rsid w:val="3BCDE812"/>
    <w:rsid w:val="3BF61A42"/>
    <w:rsid w:val="3E42071B"/>
    <w:rsid w:val="3ED32741"/>
    <w:rsid w:val="3FEB0D81"/>
    <w:rsid w:val="3FF7705D"/>
    <w:rsid w:val="41A02401"/>
    <w:rsid w:val="42B55A96"/>
    <w:rsid w:val="435307B6"/>
    <w:rsid w:val="44D34214"/>
    <w:rsid w:val="452D00BF"/>
    <w:rsid w:val="45FF2FEC"/>
    <w:rsid w:val="466435C2"/>
    <w:rsid w:val="469131A1"/>
    <w:rsid w:val="46E97251"/>
    <w:rsid w:val="4763379F"/>
    <w:rsid w:val="476D66D3"/>
    <w:rsid w:val="47C331B6"/>
    <w:rsid w:val="48293E61"/>
    <w:rsid w:val="482C0D5E"/>
    <w:rsid w:val="48453E27"/>
    <w:rsid w:val="48BF752E"/>
    <w:rsid w:val="4A647620"/>
    <w:rsid w:val="4A9843F8"/>
    <w:rsid w:val="4ABC42CB"/>
    <w:rsid w:val="4B3C4EEF"/>
    <w:rsid w:val="4BC314E0"/>
    <w:rsid w:val="4C88011D"/>
    <w:rsid w:val="4D6F751F"/>
    <w:rsid w:val="4EF01A29"/>
    <w:rsid w:val="51181D22"/>
    <w:rsid w:val="53232226"/>
    <w:rsid w:val="54992FD0"/>
    <w:rsid w:val="55357A23"/>
    <w:rsid w:val="594C6778"/>
    <w:rsid w:val="5966205B"/>
    <w:rsid w:val="5A72193E"/>
    <w:rsid w:val="5B723A3C"/>
    <w:rsid w:val="5B7C0F56"/>
    <w:rsid w:val="5CA70254"/>
    <w:rsid w:val="5FEF5940"/>
    <w:rsid w:val="602C118D"/>
    <w:rsid w:val="602E34F6"/>
    <w:rsid w:val="609271DE"/>
    <w:rsid w:val="609F7598"/>
    <w:rsid w:val="60B135E3"/>
    <w:rsid w:val="60F35E2E"/>
    <w:rsid w:val="61C85775"/>
    <w:rsid w:val="61C956B9"/>
    <w:rsid w:val="6760797E"/>
    <w:rsid w:val="67FEB4C0"/>
    <w:rsid w:val="69D05D41"/>
    <w:rsid w:val="69D76738"/>
    <w:rsid w:val="6A7F0944"/>
    <w:rsid w:val="6B242105"/>
    <w:rsid w:val="6B8B653D"/>
    <w:rsid w:val="6BC83CED"/>
    <w:rsid w:val="6D987197"/>
    <w:rsid w:val="6EBD7FBB"/>
    <w:rsid w:val="6EF92232"/>
    <w:rsid w:val="6FBC07A7"/>
    <w:rsid w:val="70FB5B88"/>
    <w:rsid w:val="7302392B"/>
    <w:rsid w:val="733FFD00"/>
    <w:rsid w:val="73E67BC3"/>
    <w:rsid w:val="74BF1CA5"/>
    <w:rsid w:val="758749EB"/>
    <w:rsid w:val="7614509E"/>
    <w:rsid w:val="772038F2"/>
    <w:rsid w:val="77285114"/>
    <w:rsid w:val="77437ECB"/>
    <w:rsid w:val="77EF309B"/>
    <w:rsid w:val="785F24A1"/>
    <w:rsid w:val="78BB1A97"/>
    <w:rsid w:val="7AFFBD41"/>
    <w:rsid w:val="7B7FFD66"/>
    <w:rsid w:val="7BCF8376"/>
    <w:rsid w:val="7BF72EE9"/>
    <w:rsid w:val="7CAA5443"/>
    <w:rsid w:val="7DAF7547"/>
    <w:rsid w:val="7E331058"/>
    <w:rsid w:val="7E861F52"/>
    <w:rsid w:val="7EB419A8"/>
    <w:rsid w:val="7EB51F05"/>
    <w:rsid w:val="7F1B07E5"/>
    <w:rsid w:val="7F5266D4"/>
    <w:rsid w:val="7FB121D3"/>
    <w:rsid w:val="7FBE9707"/>
    <w:rsid w:val="7FEF2C28"/>
    <w:rsid w:val="ABBDF370"/>
    <w:rsid w:val="B7D7E232"/>
    <w:rsid w:val="B7F926D6"/>
    <w:rsid w:val="BB7E84BE"/>
    <w:rsid w:val="BEEFE5DF"/>
    <w:rsid w:val="CDEF27AC"/>
    <w:rsid w:val="CFDB16DF"/>
    <w:rsid w:val="CFDE2ADE"/>
    <w:rsid w:val="CFF9A703"/>
    <w:rsid w:val="D4BF083B"/>
    <w:rsid w:val="DABF53C7"/>
    <w:rsid w:val="DEBD848E"/>
    <w:rsid w:val="DFFC9493"/>
    <w:rsid w:val="E77FAF29"/>
    <w:rsid w:val="EBE31662"/>
    <w:rsid w:val="F3FFA792"/>
    <w:rsid w:val="FCBE1AED"/>
    <w:rsid w:val="FFBE9D27"/>
    <w:rsid w:val="FFBFEAA1"/>
    <w:rsid w:val="FFFC4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2"/>
    <w:qFormat/>
    <w:uiPriority w:val="9"/>
    <w:pPr>
      <w:keepNext/>
      <w:keepLines/>
      <w:spacing w:line="540" w:lineRule="exact"/>
      <w:ind w:firstLine="200" w:firstLineChars="200"/>
      <w:outlineLvl w:val="0"/>
    </w:pPr>
    <w:rPr>
      <w:rFonts w:eastAsia="黑体"/>
      <w:b/>
      <w:bCs/>
      <w:kern w:val="44"/>
      <w:sz w:val="32"/>
      <w:szCs w:val="44"/>
    </w:rPr>
  </w:style>
  <w:style w:type="paragraph" w:styleId="3">
    <w:name w:val="heading 2"/>
    <w:basedOn w:val="1"/>
    <w:next w:val="1"/>
    <w:qFormat/>
    <w:uiPriority w:val="9"/>
    <w:pPr>
      <w:keepNext/>
      <w:keepLines/>
      <w:spacing w:line="540" w:lineRule="exact"/>
      <w:ind w:firstLine="200" w:firstLineChars="200"/>
      <w:outlineLvl w:val="1"/>
    </w:pPr>
    <w:rPr>
      <w:rFonts w:ascii="Cambria" w:hAnsi="Cambria" w:eastAsia="楷体_GB2312"/>
      <w:b/>
      <w:bCs/>
      <w:sz w:val="32"/>
      <w:szCs w:val="32"/>
    </w:rPr>
  </w:style>
  <w:style w:type="paragraph" w:styleId="4">
    <w:name w:val="heading 3"/>
    <w:basedOn w:val="1"/>
    <w:next w:val="1"/>
    <w:link w:val="35"/>
    <w:unhideWhenUsed/>
    <w:qFormat/>
    <w:uiPriority w:val="9"/>
    <w:pPr>
      <w:keepNext/>
      <w:keepLines/>
      <w:spacing w:line="360" w:lineRule="auto"/>
      <w:ind w:firstLine="200" w:firstLineChars="200"/>
      <w:outlineLvl w:val="2"/>
    </w:pPr>
    <w:rPr>
      <w:rFonts w:eastAsia="仿宋_GB2312"/>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link w:val="18"/>
    <w:unhideWhenUsed/>
    <w:qFormat/>
    <w:uiPriority w:val="99"/>
    <w:pPr>
      <w:spacing w:before="100" w:beforeAutospacing="1" w:after="120"/>
    </w:pPr>
    <w:rPr>
      <w:szCs w:val="21"/>
    </w:rPr>
  </w:style>
  <w:style w:type="paragraph" w:styleId="7">
    <w:name w:val="Body Text Indent"/>
    <w:basedOn w:val="1"/>
    <w:qFormat/>
    <w:uiPriority w:val="0"/>
    <w:pPr>
      <w:tabs>
        <w:tab w:val="left" w:pos="2268"/>
      </w:tabs>
      <w:spacing w:line="560" w:lineRule="exact"/>
      <w:ind w:firstLine="600" w:firstLineChars="200"/>
    </w:pPr>
    <w:rPr>
      <w:rFonts w:ascii="仿宋_GB2312"/>
      <w:sz w:val="30"/>
      <w:szCs w:val="24"/>
    </w:rPr>
  </w:style>
  <w:style w:type="paragraph" w:styleId="8">
    <w:name w:val="Plain Text"/>
    <w:basedOn w:val="1"/>
    <w:link w:val="19"/>
    <w:unhideWhenUsed/>
    <w:qFormat/>
    <w:uiPriority w:val="99"/>
    <w:rPr>
      <w:rFonts w:ascii="宋体" w:hAnsi="Courier New"/>
      <w:kern w:val="0"/>
      <w:sz w:val="20"/>
      <w:szCs w:val="20"/>
    </w:rPr>
  </w:style>
  <w:style w:type="paragraph" w:styleId="9">
    <w:name w:val="Date"/>
    <w:basedOn w:val="1"/>
    <w:next w:val="1"/>
    <w:link w:val="34"/>
    <w:semiHidden/>
    <w:unhideWhenUsed/>
    <w:qFormat/>
    <w:uiPriority w:val="99"/>
    <w:pPr>
      <w:ind w:left="100" w:leftChars="2500"/>
    </w:pPr>
  </w:style>
  <w:style w:type="paragraph" w:styleId="10">
    <w:name w:val="Balloon Text"/>
    <w:basedOn w:val="1"/>
    <w:link w:val="20"/>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unhideWhenUsed/>
    <w:qFormat/>
    <w:uiPriority w:val="99"/>
    <w:rPr>
      <w:color w:val="0000FF"/>
      <w:u w:val="single"/>
    </w:rPr>
  </w:style>
  <w:style w:type="character" w:styleId="17">
    <w:name w:val="annotation reference"/>
    <w:qFormat/>
    <w:uiPriority w:val="0"/>
    <w:rPr>
      <w:sz w:val="21"/>
      <w:szCs w:val="21"/>
    </w:rPr>
  </w:style>
  <w:style w:type="character" w:customStyle="1" w:styleId="18">
    <w:name w:val="正文文本 字符"/>
    <w:link w:val="6"/>
    <w:semiHidden/>
    <w:qFormat/>
    <w:uiPriority w:val="99"/>
    <w:rPr>
      <w:rFonts w:cs="宋体"/>
      <w:kern w:val="2"/>
      <w:sz w:val="21"/>
      <w:szCs w:val="21"/>
    </w:rPr>
  </w:style>
  <w:style w:type="character" w:customStyle="1" w:styleId="19">
    <w:name w:val="纯文本 字符"/>
    <w:link w:val="8"/>
    <w:semiHidden/>
    <w:qFormat/>
    <w:uiPriority w:val="99"/>
    <w:rPr>
      <w:rFonts w:ascii="宋体" w:hAnsi="Courier New" w:cs="宋体"/>
    </w:rPr>
  </w:style>
  <w:style w:type="character" w:customStyle="1" w:styleId="20">
    <w:name w:val="批注框文本 字符"/>
    <w:link w:val="10"/>
    <w:semiHidden/>
    <w:qFormat/>
    <w:uiPriority w:val="99"/>
    <w:rPr>
      <w:kern w:val="2"/>
      <w:sz w:val="18"/>
      <w:szCs w:val="18"/>
    </w:rPr>
  </w:style>
  <w:style w:type="character" w:customStyle="1" w:styleId="21">
    <w:name w:val="页脚 字符"/>
    <w:link w:val="11"/>
    <w:qFormat/>
    <w:uiPriority w:val="99"/>
    <w:rPr>
      <w:kern w:val="2"/>
      <w:sz w:val="18"/>
      <w:szCs w:val="18"/>
    </w:rPr>
  </w:style>
  <w:style w:type="character" w:customStyle="1" w:styleId="22">
    <w:name w:val="页眉 字符"/>
    <w:link w:val="12"/>
    <w:qFormat/>
    <w:uiPriority w:val="99"/>
    <w:rPr>
      <w:kern w:val="2"/>
      <w:sz w:val="18"/>
      <w:szCs w:val="18"/>
    </w:rPr>
  </w:style>
  <w:style w:type="paragraph" w:customStyle="1" w:styleId="23">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4">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5">
    <w:name w:val="目次、标准名称标题"/>
    <w:basedOn w:val="1"/>
    <w:next w:val="26"/>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26">
    <w:name w:val="段"/>
    <w:link w:val="3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7">
    <w:name w:val="章标题"/>
    <w:next w:val="26"/>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8">
    <w:name w:val="前言、引言标题"/>
    <w:next w:val="26"/>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9">
    <w:name w:val="终结线"/>
    <w:basedOn w:val="1"/>
    <w:qFormat/>
    <w:uiPriority w:val="0"/>
    <w:pPr>
      <w:framePr w:hSpace="181" w:vSpace="181" w:wrap="around" w:vAnchor="text" w:hAnchor="margin" w:xAlign="center" w:y="285"/>
    </w:pPr>
  </w:style>
  <w:style w:type="paragraph" w:customStyle="1" w:styleId="30">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31">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character" w:customStyle="1" w:styleId="32">
    <w:name w:val="标题 1 字符"/>
    <w:link w:val="2"/>
    <w:qFormat/>
    <w:uiPriority w:val="9"/>
    <w:rPr>
      <w:rFonts w:eastAsia="黑体"/>
      <w:b/>
      <w:bCs/>
      <w:kern w:val="44"/>
      <w:sz w:val="32"/>
      <w:szCs w:val="44"/>
    </w:rPr>
  </w:style>
  <w:style w:type="character" w:styleId="33">
    <w:name w:val="Placeholder Text"/>
    <w:semiHidden/>
    <w:qFormat/>
    <w:uiPriority w:val="99"/>
    <w:rPr>
      <w:color w:val="808080"/>
    </w:rPr>
  </w:style>
  <w:style w:type="character" w:customStyle="1" w:styleId="34">
    <w:name w:val="日期 字符"/>
    <w:link w:val="9"/>
    <w:semiHidden/>
    <w:qFormat/>
    <w:uiPriority w:val="99"/>
    <w:rPr>
      <w:kern w:val="2"/>
      <w:sz w:val="21"/>
      <w:szCs w:val="22"/>
    </w:rPr>
  </w:style>
  <w:style w:type="character" w:customStyle="1" w:styleId="35">
    <w:name w:val="标题 3 字符"/>
    <w:link w:val="4"/>
    <w:qFormat/>
    <w:uiPriority w:val="9"/>
    <w:rPr>
      <w:rFonts w:eastAsia="仿宋_GB2312"/>
      <w:bCs/>
      <w:kern w:val="2"/>
      <w:sz w:val="32"/>
      <w:szCs w:val="32"/>
    </w:rPr>
  </w:style>
  <w:style w:type="character" w:customStyle="1" w:styleId="36">
    <w:name w:val="段 Char"/>
    <w:link w:val="26"/>
    <w:qFormat/>
    <w:uiPriority w:val="0"/>
    <w:rPr>
      <w:rFonts w:ascii="宋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8999</Words>
  <Characters>9892</Characters>
  <Lines>134</Lines>
  <Paragraphs>37</Paragraphs>
  <TotalTime>0</TotalTime>
  <ScaleCrop>false</ScaleCrop>
  <LinksUpToDate>false</LinksUpToDate>
  <CharactersWithSpaces>10048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2025-04-23T08:57:00Z</dcterms:created>
  <dc:creator>王璐</dc:creator>
  <dc:description>NE.Ref</dc:description>
  <cp:lastModifiedBy>Kay</cp:lastModifiedBy>
  <cp:lastPrinted>2022-09-27T07:26:00Z</cp:lastPrinted>
  <dcterms:modified xsi:type="dcterms:W3CDTF">2025-04-30T06:38:38Z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6F2A20BBC9694BD191909AE237518259</vt:lpwstr>
  </property>
  <property fmtid="{D5CDD505-2E9C-101B-9397-08002B2CF9AE}" pid="4" name="KSOTemplateDocerSaveRecord">
    <vt:lpwstr>eyJoZGlkIjoiNTE1MmU1Y2MyNDg1NTdlMzc5N2U3YWY5YTQyNDJmYmMiLCJ1c2VySWQiOiIxMDI4NTQ2MDkyIn0=</vt:lpwstr>
  </property>
</Properties>
</file>