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49C65">
      <w:pPr>
        <w:pStyle w:val="18"/>
        <w:rPr>
          <w:i/>
          <w:iCs/>
          <w:color w:val="0D0D0D" w:themeColor="text1" w:themeTint="F2"/>
          <w14:textFill>
            <w14:solidFill>
              <w14:schemeClr w14:val="tx1">
                <w14:lumMod w14:val="95000"/>
                <w14:lumOff w14:val="5000"/>
              </w14:schemeClr>
            </w14:solidFill>
          </w14:textFill>
        </w:rPr>
        <w:sectPr>
          <w:headerReference r:id="rId7" w:type="first"/>
          <w:headerReference r:id="rId5" w:type="default"/>
          <w:footerReference r:id="rId8" w:type="default"/>
          <w:headerReference r:id="rId6" w:type="even"/>
          <w:footerReference r:id="rId9" w:type="even"/>
          <w:pgSz w:w="11907" w:h="16839"/>
          <w:pgMar w:top="567" w:right="851" w:bottom="1361" w:left="1418" w:header="0" w:footer="0" w:gutter="0"/>
          <w:pgNumType w:fmt="upperRoman" w:start="1"/>
          <w:cols w:space="425" w:num="1"/>
          <w:titlePg/>
          <w:docGrid w:type="lines" w:linePitch="312" w:charSpace="0"/>
        </w:sectPr>
      </w:pPr>
      <w:bookmarkStart w:id="0" w:name="SectionMark0"/>
      <w:r>
        <w:rPr>
          <w:i/>
          <w:iCs/>
          <w:color w:val="0D0D0D" w:themeColor="text1" w:themeTint="F2"/>
          <w14:textFill>
            <w14:solidFill>
              <w14:schemeClr w14:val="tx1">
                <w14:lumMod w14:val="95000"/>
                <w14:lumOff w14:val="5000"/>
              </w14:schemeClr>
            </w14:solidFill>
          </w14:textFill>
        </w:rPr>
        <w:fldChar w:fldCharType="begin">
          <w:fldData xml:space="preserve">ZQBKAHoAdABYAFEAMQB3AFcAOABXAGQAMwAyAGYASgBrAHIAeAB4AEwAMABhAFEAMQBEAFgAbABF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</w:fldData>
        </w:fldChar>
      </w:r>
      <w:r>
        <w:rPr>
          <w:i/>
          <w:iCs/>
          <w:color w:val="0D0D0D" w:themeColor="text1" w:themeTint="F2"/>
          <w14:textFill>
            <w14:solidFill>
              <w14:schemeClr w14:val="tx1">
                <w14:lumMod w14:val="95000"/>
                <w14:lumOff w14:val="5000"/>
              </w14:schemeClr>
            </w14:solidFill>
          </w14:textFill>
        </w:rPr>
        <w:instrText xml:space="preserve">ADDIN CNKISM.UserStyle</w:instrText>
      </w:r>
      <w:r>
        <w:rPr>
          <w:i/>
          <w:iCs/>
          <w:color w:val="0D0D0D" w:themeColor="text1" w:themeTint="F2"/>
          <w14:textFill>
            <w14:solidFill>
              <w14:schemeClr w14:val="tx1">
                <w14:lumMod w14:val="95000"/>
                <w14:lumOff w14:val="5000"/>
              </w14:schemeClr>
            </w14:solidFill>
          </w14:textFill>
        </w:rPr>
        <w:fldChar w:fldCharType="end"/>
      </w: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1485900" cy="59436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485900" cy="594360"/>
                        </a:xfrm>
                        <a:prstGeom prst="rect">
                          <a:avLst/>
                        </a:prstGeom>
                        <a:solidFill>
                          <a:srgbClr val="FFFFFF"/>
                        </a:solidFill>
                        <a:ln>
                          <a:noFill/>
                        </a:ln>
                      </wps:spPr>
                      <wps:txbx>
                        <w:txbxContent>
                          <w:p w14:paraId="43CA5C67">
                            <w:pPr>
                              <w:ind w:firstLine="0"/>
                              <w:rPr>
                                <w:b/>
                              </w:rPr>
                            </w:pPr>
                            <w:r>
                              <w:rPr>
                                <w:rFonts w:hint="eastAsia"/>
                                <w:b/>
                              </w:rPr>
                              <w:t xml:space="preserve">ICS </w:t>
                            </w:r>
                            <w:r>
                              <w:rPr>
                                <w:rFonts w:hint="eastAsia"/>
                                <w:b/>
                              </w:rPr>
                              <w:sym w:font="Symbol" w:char="F0B4"/>
                            </w:r>
                            <w:r>
                              <w:rPr>
                                <w:rFonts w:hint="eastAsia"/>
                                <w:b/>
                              </w:rPr>
                              <w:sym w:font="Symbol" w:char="F0B4"/>
                            </w:r>
                            <w:r>
                              <w:rPr>
                                <w:rFonts w:hint="eastAsia"/>
                                <w:b/>
                              </w:rPr>
                              <w:t>.</w:t>
                            </w:r>
                            <w:r>
                              <w:rPr>
                                <w:rFonts w:hint="eastAsia"/>
                                <w:b/>
                              </w:rPr>
                              <w:sym w:font="Symbol" w:char="F0B4"/>
                            </w:r>
                            <w:r>
                              <w:rPr>
                                <w:rFonts w:hint="eastAsia"/>
                                <w:b/>
                              </w:rPr>
                              <w:sym w:font="Symbol" w:char="F0B4"/>
                            </w:r>
                            <w:r>
                              <w:rPr>
                                <w:rFonts w:hint="eastAsia"/>
                                <w:b/>
                              </w:rPr>
                              <w:sym w:font="Symbol" w:char="F0B4"/>
                            </w:r>
                          </w:p>
                          <w:p w14:paraId="4547AED0">
                            <w:pPr>
                              <w:ind w:firstLine="0"/>
                              <w:rPr>
                                <w:b/>
                              </w:rPr>
                            </w:pPr>
                            <w:r>
                              <w:rPr>
                                <w:b/>
                              </w:rPr>
                              <w:t>CCS</w:t>
                            </w:r>
                            <w:r>
                              <w:rPr>
                                <w:rFonts w:hint="eastAsia"/>
                                <w:b/>
                              </w:rPr>
                              <w:t xml:space="preserve"> </w:t>
                            </w:r>
                            <w:r>
                              <w:rPr>
                                <w:b/>
                              </w:rPr>
                              <w:t>B</w:t>
                            </w:r>
                            <w:r>
                              <w:rPr>
                                <w:rFonts w:hint="eastAsia"/>
                                <w:b/>
                              </w:rPr>
                              <w:sym w:font="Symbol" w:char="F0B4"/>
                            </w:r>
                            <w:r>
                              <w:rPr>
                                <w:rFonts w:hint="eastAsia"/>
                                <w:b/>
                              </w:rPr>
                              <w:sym w:font="Symbol" w:char="F0B4"/>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05pt;height:46.8pt;width:117pt;z-index:251668480;mso-width-relative:page;mso-height-relative:page;" fillcolor="#FFFFFF" filled="t" stroked="f" coordsize="21600,21600" o:gfxdata="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sIZltIAAAAEAQAADwAAAAAAAAABACAAAAAiAAAAZHJzL2Rvd25yZXYueG1sUEsBAhQAFAAAAAgA&#10;h07iQJJ8OUIrAgAAQAQAAA4AAAAAAAAAAQAgAAAAIQEAAGRycy9lMm9Eb2MueG1sUEsFBgAAAAAG&#10;AAYAWQEAAL4FAAAAAA==&#10;">
                <v:fill on="t" focussize="0,0"/>
                <v:stroke on="f"/>
                <v:imagedata o:title=""/>
                <o:lock v:ext="edit" aspectratio="f"/>
                <v:textbox>
                  <w:txbxContent>
                    <w:p w14:paraId="43CA5C67">
                      <w:pPr>
                        <w:ind w:firstLine="0"/>
                        <w:rPr>
                          <w:b/>
                        </w:rPr>
                      </w:pPr>
                      <w:r>
                        <w:rPr>
                          <w:rFonts w:hint="eastAsia"/>
                          <w:b/>
                        </w:rPr>
                        <w:t xml:space="preserve">ICS </w:t>
                      </w:r>
                      <w:r>
                        <w:rPr>
                          <w:rFonts w:hint="eastAsia"/>
                          <w:b/>
                        </w:rPr>
                        <w:sym w:font="Symbol" w:char="F0B4"/>
                      </w:r>
                      <w:r>
                        <w:rPr>
                          <w:rFonts w:hint="eastAsia"/>
                          <w:b/>
                        </w:rPr>
                        <w:sym w:font="Symbol" w:char="F0B4"/>
                      </w:r>
                      <w:r>
                        <w:rPr>
                          <w:rFonts w:hint="eastAsia"/>
                          <w:b/>
                        </w:rPr>
                        <w:t>.</w:t>
                      </w:r>
                      <w:r>
                        <w:rPr>
                          <w:rFonts w:hint="eastAsia"/>
                          <w:b/>
                        </w:rPr>
                        <w:sym w:font="Symbol" w:char="F0B4"/>
                      </w:r>
                      <w:r>
                        <w:rPr>
                          <w:rFonts w:hint="eastAsia"/>
                          <w:b/>
                        </w:rPr>
                        <w:sym w:font="Symbol" w:char="F0B4"/>
                      </w:r>
                      <w:r>
                        <w:rPr>
                          <w:rFonts w:hint="eastAsia"/>
                          <w:b/>
                        </w:rPr>
                        <w:sym w:font="Symbol" w:char="F0B4"/>
                      </w:r>
                    </w:p>
                    <w:p w14:paraId="4547AED0">
                      <w:pPr>
                        <w:ind w:firstLine="0"/>
                        <w:rPr>
                          <w:b/>
                        </w:rPr>
                      </w:pPr>
                      <w:r>
                        <w:rPr>
                          <w:b/>
                        </w:rPr>
                        <w:t>CCS</w:t>
                      </w:r>
                      <w:r>
                        <w:rPr>
                          <w:rFonts w:hint="eastAsia"/>
                          <w:b/>
                        </w:rPr>
                        <w:t xml:space="preserve"> </w:t>
                      </w:r>
                      <w:r>
                        <w:rPr>
                          <w:b/>
                        </w:rPr>
                        <w:t>B</w:t>
                      </w:r>
                      <w:r>
                        <w:rPr>
                          <w:rFonts w:hint="eastAsia"/>
                          <w:b/>
                        </w:rPr>
                        <w:sym w:font="Symbol" w:char="F0B4"/>
                      </w:r>
                      <w:r>
                        <w:rPr>
                          <w:rFonts w:hint="eastAsia"/>
                          <w:b/>
                        </w:rPr>
                        <w:sym w:font="Symbol" w:char="F0B4"/>
                      </w:r>
                    </w:p>
                  </w:txbxContent>
                </v:textbox>
              </v:shape>
            </w:pict>
          </mc:Fallback>
        </mc:AlternateContent>
      </w:r>
      <w:r>
        <mc:AlternateContent>
          <mc:Choice Requires="wps">
            <w:drawing>
              <wp:anchor distT="0" distB="0" distL="114300" distR="114300" simplePos="0" relativeHeight="251667456" behindDoc="0" locked="1" layoutInCell="0" allowOverlap="1">
                <wp:simplePos x="0" y="0"/>
                <wp:positionH relativeFrom="margin">
                  <wp:posOffset>2549525</wp:posOffset>
                </wp:positionH>
                <wp:positionV relativeFrom="margin">
                  <wp:posOffset>107315</wp:posOffset>
                </wp:positionV>
                <wp:extent cx="3175000" cy="72009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268A0519">
                            <w:pPr>
                              <w:pStyle w:val="26"/>
                            </w:pPr>
                            <w:r>
                              <w:rPr>
                                <w:rFonts w:hint="eastAsia"/>
                              </w:rPr>
                              <w:t>NY</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0.75pt;margin-top:8.45pt;height:56.7pt;width:250pt;mso-position-horizontal-relative:margin;mso-position-vertical-relative:margin;z-index:251667456;mso-width-relative:page;mso-height-relative:page;" fillcolor="#FFFFFF" filled="t" stroked="f" coordsize="21600,21600" o:allowincell="f"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lZOzzY&#10;AAAACgEAAA8AAAAAAAAAAQAgAAAAIgAAAGRycy9kb3ducmV2LnhtbFBLAQIUABQAAAAIAIdO4kB/&#10;olv0IAIAAC4EAAAOAAAAAAAAAAEAIAAAACcBAABkcnMvZTJvRG9jLnhtbFBLBQYAAAAABgAGAFkB&#10;AAC5BQAAAAA=&#10;">
                <v:fill on="t" focussize="0,0"/>
                <v:stroke on="f"/>
                <v:imagedata o:title=""/>
                <o:lock v:ext="edit" aspectratio="f"/>
                <v:textbox inset="0mm,0mm,0mm,0mm">
                  <w:txbxContent>
                    <w:p w14:paraId="268A0519">
                      <w:pPr>
                        <w:pStyle w:val="26"/>
                      </w:pPr>
                      <w:r>
                        <w:rPr>
                          <w:rFonts w:hint="eastAsia"/>
                        </w:rPr>
                        <w:t>NY</w:t>
                      </w:r>
                    </w:p>
                  </w:txbxContent>
                </v:textbox>
                <w10:anchorlock/>
              </v:shape>
            </w:pict>
          </mc:Fallback>
        </mc:AlternateContent>
      </w:r>
      <w: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8889365</wp:posOffset>
                </wp:positionV>
                <wp:extent cx="61214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pt;margin-top:699.95pt;height:0pt;width:482pt;z-index:251666432;mso-width-relative:page;mso-height-relative:page;" filled="f" stroked="t" coordsize="21600,21600" o:allowincell="f" o:gfxdata="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GB/vvXAAAACgEA&#10;AA8AAAAAAAAAAQAgAAAAIgAAAGRycy9kb3ducmV2LnhtbFBLAQIUABQAAAAIAIdO4kARMmwt4gEA&#10;AKsDAAAOAAAAAAAAAAEAIAAAACYBAABkcnMvZTJvRG9jLnhtbFBLBQYAAAAABgAGAFkBAAB6BQAA&#10;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2272665</wp:posOffset>
                </wp:positionV>
                <wp:extent cx="61214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pt;margin-top:178.95pt;height:0pt;width:482pt;z-index:251665408;mso-width-relative:page;mso-height-relative:page;" filled="f" stroked="t" coordsize="21600,21600" o:allowincell="f" o:gfxdata="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O+y27XAAAACAEA&#10;AA8AAAAAAAAAAQAgAAAAIgAAAGRycy9kb3ducmV2LnhtbFBLAQIUABQAAAAIAIdO4kCMeI3F4gEA&#10;AKsDAAAOAAAAAAAAAAEAIAAAACYBAABkcnMvZTJvRG9jLnhtbFBLBQYAAAAABgAGAFkBAAB6BQAA&#10;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4384" behindDoc="0" locked="1" layoutInCell="0" allowOverlap="1">
                <wp:simplePos x="0" y="0"/>
                <wp:positionH relativeFrom="margin">
                  <wp:posOffset>0</wp:posOffset>
                </wp:positionH>
                <wp:positionV relativeFrom="margin">
                  <wp:posOffset>9108440</wp:posOffset>
                </wp:positionV>
                <wp:extent cx="6120130" cy="36322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49047DD9">
                            <w:pPr>
                              <w:pStyle w:val="28"/>
                            </w:pPr>
                            <w:r>
                              <w:rPr>
                                <w:rFonts w:hint="eastAsia"/>
                              </w:rPr>
                              <w:t>中华人民共和国</w:t>
                            </w:r>
                            <w:r>
                              <w:rPr>
                                <w:rFonts w:hint="eastAsia"/>
                                <w:color w:val="000000"/>
                              </w:rPr>
                              <w:t xml:space="preserve">农业农村部 </w:t>
                            </w:r>
                            <w:r>
                              <w:rPr>
                                <w:rStyle w:val="27"/>
                                <w:rFonts w:hint="eastAsia"/>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allowincell="f"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JVgbr2AAA&#10;AAoBAAAPAAAAAAAAAAEAIAAAACIAAABkcnMvZG93bnJldi54bWxQSwECFAAUAAAACACHTuJARcl1&#10;eB4CAAAuBAAADgAAAAAAAAABACAAAAAnAQAAZHJzL2Uyb0RvYy54bWxQSwUGAAAAAAYABgBZAQAA&#10;twUAAAAA&#10;">
                <v:fill on="t" focussize="0,0"/>
                <v:stroke on="f"/>
                <v:imagedata o:title=""/>
                <o:lock v:ext="edit" aspectratio="f"/>
                <v:textbox inset="0mm,0mm,0mm,0mm">
                  <w:txbxContent>
                    <w:p w14:paraId="49047DD9">
                      <w:pPr>
                        <w:pStyle w:val="28"/>
                      </w:pPr>
                      <w:r>
                        <w:rPr>
                          <w:rFonts w:hint="eastAsia"/>
                        </w:rPr>
                        <w:t>中华人民共和国</w:t>
                      </w:r>
                      <w:r>
                        <w:rPr>
                          <w:rFonts w:hint="eastAsia"/>
                          <w:color w:val="000000"/>
                        </w:rPr>
                        <w:t xml:space="preserve">农业农村部 </w:t>
                      </w:r>
                      <w:r>
                        <w:rPr>
                          <w:rStyle w:val="27"/>
                          <w:rFonts w:hint="eastAsia"/>
                        </w:rPr>
                        <w:t>发布</w:t>
                      </w:r>
                    </w:p>
                  </w:txbxContent>
                </v:textbox>
                <w10:anchorlock/>
              </v:shape>
            </w:pict>
          </mc:Fallback>
        </mc:AlternateContent>
      </w:r>
      <w:r>
        <mc:AlternateContent>
          <mc:Choice Requires="wps">
            <w:drawing>
              <wp:anchor distT="0" distB="0" distL="114300" distR="114300" simplePos="0" relativeHeight="251663360" behindDoc="0" locked="1" layoutInCell="0" allowOverlap="1">
                <wp:simplePos x="0" y="0"/>
                <wp:positionH relativeFrom="margin">
                  <wp:posOffset>4100830</wp:posOffset>
                </wp:positionH>
                <wp:positionV relativeFrom="margin">
                  <wp:posOffset>8563610</wp:posOffset>
                </wp:positionV>
                <wp:extent cx="2019300" cy="31242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D6ACE69">
                            <w:pPr>
                              <w:pStyle w:val="29"/>
                              <w:rPr>
                                <w:color w:val="000000"/>
                              </w:rPr>
                            </w:pPr>
                            <w:r>
                              <w:rPr>
                                <w:rFonts w:hint="eastAsia"/>
                                <w:color w:val="000000"/>
                              </w:rPr>
                              <w:t>20</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allowincell="f"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v2q&#10;19oAAAANAQAADwAAAAAAAAABACAAAAAiAAAAZHJzL2Rvd25yZXYueG1sUEsBAhQAFAAAAAgAh07i&#10;QP6GIzMgAgAALgQAAA4AAAAAAAAAAQAgAAAAKQEAAGRycy9lMm9Eb2MueG1sUEsFBgAAAAAGAAYA&#10;WQEAALsFAAAAAA==&#10;">
                <v:fill on="t" focussize="0,0"/>
                <v:stroke on="f"/>
                <v:imagedata o:title=""/>
                <o:lock v:ext="edit" aspectratio="f"/>
                <v:textbox inset="0mm,0mm,0mm,0mm">
                  <w:txbxContent>
                    <w:p w14:paraId="1D6ACE69">
                      <w:pPr>
                        <w:pStyle w:val="29"/>
                        <w:rPr>
                          <w:color w:val="000000"/>
                        </w:rPr>
                      </w:pPr>
                      <w:r>
                        <w:rPr>
                          <w:rFonts w:hint="eastAsia"/>
                          <w:color w:val="000000"/>
                        </w:rPr>
                        <w:t>20</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实施</w:t>
                      </w:r>
                    </w:p>
                  </w:txbxContent>
                </v:textbox>
                <w10:anchorlock/>
              </v:shape>
            </w:pict>
          </mc:Fallback>
        </mc:AlternateContent>
      </w:r>
      <w: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8563610</wp:posOffset>
                </wp:positionV>
                <wp:extent cx="2019300" cy="31242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3D04051">
                            <w:pPr>
                              <w:pStyle w:val="30"/>
                              <w:rPr>
                                <w:color w:val="000000"/>
                              </w:rPr>
                            </w:pPr>
                            <w:r>
                              <w:rPr>
                                <w:rFonts w:hint="eastAsia"/>
                                <w:color w:val="000000"/>
                              </w:rPr>
                              <w:t>20</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 xml:space="preserve"> -</w:t>
                            </w:r>
                            <w:r>
                              <w:rPr>
                                <w:rFonts w:hint="eastAsia"/>
                                <w:color w:val="000000"/>
                              </w:rPr>
                              <w:sym w:font="Symbol" w:char="F0B4"/>
                            </w:r>
                            <w:r>
                              <w:rPr>
                                <w:rFonts w:hint="eastAsia"/>
                                <w:color w:val="000000"/>
                              </w:rPr>
                              <w:sym w:font="Symbol" w:char="F0B4"/>
                            </w:r>
                            <w:r>
                              <w:rPr>
                                <w:rFonts w:hint="eastAsia"/>
                                <w:color w:val="000000"/>
                              </w:rPr>
                              <w:t xml:space="preserve"> 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zbKiNgA&#10;AAAKAQAADwAAAAAAAAABACAAAAAiAAAAZHJzL2Rvd25yZXYueG1sUEsBAhQAFAAAAAgAh07iQGw0&#10;IWMfAgAALgQAAA4AAAAAAAAAAQAgAAAAJwEAAGRycy9lMm9Eb2MueG1sUEsFBgAAAAAGAAYAWQEA&#10;ALgFAAAAAA==&#10;">
                <v:fill on="t" focussize="0,0"/>
                <v:stroke on="f"/>
                <v:imagedata o:title=""/>
                <o:lock v:ext="edit" aspectratio="f"/>
                <v:textbox inset="0mm,0mm,0mm,0mm">
                  <w:txbxContent>
                    <w:p w14:paraId="53D04051">
                      <w:pPr>
                        <w:pStyle w:val="30"/>
                        <w:rPr>
                          <w:color w:val="000000"/>
                        </w:rPr>
                      </w:pPr>
                      <w:r>
                        <w:rPr>
                          <w:rFonts w:hint="eastAsia"/>
                          <w:color w:val="000000"/>
                        </w:rPr>
                        <w:t>20</w:t>
                      </w:r>
                      <w:r>
                        <w:rPr>
                          <w:rFonts w:hint="eastAsia"/>
                          <w:color w:val="000000"/>
                        </w:rPr>
                        <w:sym w:font="Symbol" w:char="F0B4"/>
                      </w:r>
                      <w:r>
                        <w:rPr>
                          <w:rFonts w:hint="eastAsia"/>
                          <w:color w:val="000000"/>
                        </w:rPr>
                        <w:sym w:font="Symbol" w:char="F0B4"/>
                      </w:r>
                      <w:r>
                        <w:rPr>
                          <w:rFonts w:hint="eastAsia"/>
                          <w:color w:val="000000"/>
                        </w:rPr>
                        <w:t xml:space="preserve"> - </w:t>
                      </w:r>
                      <w:r>
                        <w:rPr>
                          <w:rFonts w:hint="eastAsia"/>
                          <w:color w:val="000000"/>
                        </w:rPr>
                        <w:sym w:font="Symbol" w:char="F0B4"/>
                      </w:r>
                      <w:r>
                        <w:rPr>
                          <w:rFonts w:hint="eastAsia"/>
                          <w:color w:val="000000"/>
                        </w:rPr>
                        <w:sym w:font="Symbol" w:char="F0B4"/>
                      </w:r>
                      <w:r>
                        <w:rPr>
                          <w:rFonts w:hint="eastAsia"/>
                          <w:color w:val="000000"/>
                        </w:rPr>
                        <w:t xml:space="preserve"> -</w:t>
                      </w:r>
                      <w:r>
                        <w:rPr>
                          <w:rFonts w:hint="eastAsia"/>
                          <w:color w:val="000000"/>
                        </w:rPr>
                        <w:sym w:font="Symbol" w:char="F0B4"/>
                      </w:r>
                      <w:r>
                        <w:rPr>
                          <w:rFonts w:hint="eastAsia"/>
                          <w:color w:val="000000"/>
                        </w:rPr>
                        <w:sym w:font="Symbol" w:char="F0B4"/>
                      </w:r>
                      <w:r>
                        <w:rPr>
                          <w:rFonts w:hint="eastAsia"/>
                          <w:color w:val="000000"/>
                        </w:rPr>
                        <w:t xml:space="preserve"> 发布</w:t>
                      </w:r>
                    </w:p>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posOffset>234315</wp:posOffset>
                </wp:positionH>
                <wp:positionV relativeFrom="margin">
                  <wp:posOffset>3391535</wp:posOffset>
                </wp:positionV>
                <wp:extent cx="5881370" cy="492506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881370" cy="4925060"/>
                        </a:xfrm>
                        <a:prstGeom prst="rect">
                          <a:avLst/>
                        </a:prstGeom>
                        <a:solidFill>
                          <a:srgbClr val="FFFFFF"/>
                        </a:solidFill>
                        <a:ln>
                          <a:noFill/>
                        </a:ln>
                      </wps:spPr>
                      <wps:txbx>
                        <w:txbxContent>
                          <w:p w14:paraId="7A0A6260">
                            <w:pPr>
                              <w:pStyle w:val="31"/>
                              <w:rPr>
                                <w:szCs w:val="52"/>
                              </w:rPr>
                            </w:pPr>
                          </w:p>
                          <w:p w14:paraId="7B6CFAAD">
                            <w:pPr>
                              <w:pStyle w:val="32"/>
                              <w:rPr>
                                <w:rFonts w:ascii="黑体" w:eastAsia="黑体"/>
                                <w:color w:val="000000" w:themeColor="text1"/>
                                <w:sz w:val="52"/>
                                <w:szCs w:val="5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稻田土壤保育与碳氮协同减排技术规范</w:t>
                            </w:r>
                          </w:p>
                          <w:p w14:paraId="1ED9BE27">
                            <w:pPr>
                              <w:pStyle w:val="32"/>
                              <w:rPr>
                                <w:rFonts w:ascii="黑体" w:eastAsia="黑体"/>
                                <w:color w:val="000000" w:themeColor="text1"/>
                                <w:sz w:val="52"/>
                                <w:szCs w:val="5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第</w:t>
                            </w:r>
                            <w:r>
                              <w:rPr>
                                <w:rFonts w:ascii="黑体" w:eastAsia="黑体"/>
                                <w:color w:val="000000" w:themeColor="text1"/>
                                <w:sz w:val="52"/>
                                <w:szCs w:val="52"/>
                                <w14:textFill>
                                  <w14:solidFill>
                                    <w14:schemeClr w14:val="tx1"/>
                                  </w14:solidFill>
                                </w14:textFill>
                              </w:rPr>
                              <w:t>2</w:t>
                            </w:r>
                            <w:r>
                              <w:rPr>
                                <w:rFonts w:hint="eastAsia" w:ascii="黑体" w:eastAsia="黑体"/>
                                <w:color w:val="000000" w:themeColor="text1"/>
                                <w:sz w:val="52"/>
                                <w:szCs w:val="52"/>
                                <w14:textFill>
                                  <w14:solidFill>
                                    <w14:schemeClr w14:val="tx1"/>
                                  </w14:solidFill>
                                </w14:textFill>
                              </w:rPr>
                              <w:t>部分：南方双季稻区</w:t>
                            </w:r>
                          </w:p>
                          <w:p w14:paraId="2260A906">
                            <w:pPr>
                              <w:pStyle w:val="32"/>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Technical specification for </w:t>
                            </w:r>
                            <w:bookmarkStart w:id="50" w:name="_Hlk144453564"/>
                            <w:r>
                              <w:rPr>
                                <w:color w:val="000000" w:themeColor="text1"/>
                                <w:szCs w:val="28"/>
                                <w14:textFill>
                                  <w14:solidFill>
                                    <w14:schemeClr w14:val="tx1"/>
                                  </w14:solidFill>
                                </w14:textFill>
                              </w:rPr>
                              <w:t>soil conservation</w:t>
                            </w:r>
                            <w:bookmarkEnd w:id="50"/>
                            <w:r>
                              <w:rPr>
                                <w:color w:val="000000" w:themeColor="text1"/>
                                <w:szCs w:val="28"/>
                                <w14:textFill>
                                  <w14:solidFill>
                                    <w14:schemeClr w14:val="tx1"/>
                                  </w14:solidFill>
                                </w14:textFill>
                              </w:rPr>
                              <w:t xml:space="preserve"> and synergistic emission reduction of carbon and nitrogen in paddy fields: Rice-rice rotation of Southern China</w:t>
                            </w:r>
                          </w:p>
                          <w:p w14:paraId="71411043">
                            <w:pPr>
                              <w:pStyle w:val="32"/>
                              <w:rPr>
                                <w:color w:val="000000" w:themeColor="text1"/>
                                <w:szCs w:val="28"/>
                                <w14:textFill>
                                  <w14:solidFill>
                                    <w14:schemeClr w14:val="tx1"/>
                                  </w14:solidFill>
                                </w14:textFill>
                              </w:rPr>
                            </w:pPr>
                          </w:p>
                          <w:p w14:paraId="6819C64F">
                            <w:pPr>
                              <w:pStyle w:val="33"/>
                            </w:pPr>
                            <w:r>
                              <w:rPr>
                                <w:rFonts w:hint="eastAsia"/>
                              </w:rPr>
                              <w:t>（征求意见稿）</w:t>
                            </w:r>
                          </w:p>
                          <w:p w14:paraId="3FD9BB29">
                            <w:pPr>
                              <w:widowControl/>
                              <w:shd w:val="clear" w:color="auto" w:fill="F5F5F5"/>
                              <w:ind w:firstLine="0"/>
                              <w:jc w:val="center"/>
                              <w:textAlignment w:val="top"/>
                              <w:rPr>
                                <w:rFonts w:ascii="Arial" w:hAnsi="Arial" w:cs="Arial"/>
                                <w:color w:val="888888"/>
                                <w:kern w:val="0"/>
                                <w:sz w:val="20"/>
                              </w:rPr>
                            </w:pPr>
                          </w:p>
                          <w:p w14:paraId="1EEDF468">
                            <w:pPr>
                              <w:pStyle w:val="2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8.45pt;margin-top:267.05pt;height:387.8pt;width:463.1pt;mso-position-horizontal-relative:margin;mso-position-vertical-relative:margin;z-index:251661312;mso-width-relative:page;mso-height-relative:page;" fillcolor="#FFFFFF" filled="t" stroked="f" coordsize="21600,21600" o:allowincell="f" o:gfxdata="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J&#10;Ocsx2gAAAAsBAAAPAAAAAAAAAAEAIAAAACIAAABkcnMvZG93bnJldi54bWxQSwECFAAUAAAACACH&#10;TuJAlXJeeCICAAAvBAAADgAAAAAAAAABACAAAAApAQAAZHJzL2Uyb0RvYy54bWxQSwUGAAAAAAYA&#10;BgBZAQAAvQUAAAAA&#10;">
                <v:fill on="t" focussize="0,0"/>
                <v:stroke on="f"/>
                <v:imagedata o:title=""/>
                <o:lock v:ext="edit" aspectratio="f"/>
                <v:textbox inset="0mm,0mm,0mm,0mm">
                  <w:txbxContent>
                    <w:p w14:paraId="7A0A6260">
                      <w:pPr>
                        <w:pStyle w:val="31"/>
                        <w:rPr>
                          <w:szCs w:val="52"/>
                        </w:rPr>
                      </w:pPr>
                    </w:p>
                    <w:p w14:paraId="7B6CFAAD">
                      <w:pPr>
                        <w:pStyle w:val="32"/>
                        <w:rPr>
                          <w:rFonts w:ascii="黑体" w:eastAsia="黑体"/>
                          <w:color w:val="000000" w:themeColor="text1"/>
                          <w:sz w:val="52"/>
                          <w:szCs w:val="5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稻田土壤保育与碳氮协同减排技术规范</w:t>
                      </w:r>
                    </w:p>
                    <w:p w14:paraId="1ED9BE27">
                      <w:pPr>
                        <w:pStyle w:val="32"/>
                        <w:rPr>
                          <w:rFonts w:ascii="黑体" w:eastAsia="黑体"/>
                          <w:color w:val="000000" w:themeColor="text1"/>
                          <w:sz w:val="52"/>
                          <w:szCs w:val="5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第</w:t>
                      </w:r>
                      <w:r>
                        <w:rPr>
                          <w:rFonts w:ascii="黑体" w:eastAsia="黑体"/>
                          <w:color w:val="000000" w:themeColor="text1"/>
                          <w:sz w:val="52"/>
                          <w:szCs w:val="52"/>
                          <w14:textFill>
                            <w14:solidFill>
                              <w14:schemeClr w14:val="tx1"/>
                            </w14:solidFill>
                          </w14:textFill>
                        </w:rPr>
                        <w:t>2</w:t>
                      </w:r>
                      <w:r>
                        <w:rPr>
                          <w:rFonts w:hint="eastAsia" w:ascii="黑体" w:eastAsia="黑体"/>
                          <w:color w:val="000000" w:themeColor="text1"/>
                          <w:sz w:val="52"/>
                          <w:szCs w:val="52"/>
                          <w14:textFill>
                            <w14:solidFill>
                              <w14:schemeClr w14:val="tx1"/>
                            </w14:solidFill>
                          </w14:textFill>
                        </w:rPr>
                        <w:t>部分：南方双季稻区</w:t>
                      </w:r>
                    </w:p>
                    <w:p w14:paraId="2260A906">
                      <w:pPr>
                        <w:pStyle w:val="32"/>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Technical specification for </w:t>
                      </w:r>
                      <w:bookmarkStart w:id="50" w:name="_Hlk144453564"/>
                      <w:r>
                        <w:rPr>
                          <w:color w:val="000000" w:themeColor="text1"/>
                          <w:szCs w:val="28"/>
                          <w14:textFill>
                            <w14:solidFill>
                              <w14:schemeClr w14:val="tx1"/>
                            </w14:solidFill>
                          </w14:textFill>
                        </w:rPr>
                        <w:t>soil conservation</w:t>
                      </w:r>
                      <w:bookmarkEnd w:id="50"/>
                      <w:r>
                        <w:rPr>
                          <w:color w:val="000000" w:themeColor="text1"/>
                          <w:szCs w:val="28"/>
                          <w14:textFill>
                            <w14:solidFill>
                              <w14:schemeClr w14:val="tx1"/>
                            </w14:solidFill>
                          </w14:textFill>
                        </w:rPr>
                        <w:t xml:space="preserve"> and synergistic emission reduction of carbon and nitrogen in paddy fields: Rice-rice rotation of Southern China</w:t>
                      </w:r>
                    </w:p>
                    <w:p w14:paraId="71411043">
                      <w:pPr>
                        <w:pStyle w:val="32"/>
                        <w:rPr>
                          <w:color w:val="000000" w:themeColor="text1"/>
                          <w:szCs w:val="28"/>
                          <w14:textFill>
                            <w14:solidFill>
                              <w14:schemeClr w14:val="tx1"/>
                            </w14:solidFill>
                          </w14:textFill>
                        </w:rPr>
                      </w:pPr>
                    </w:p>
                    <w:p w14:paraId="6819C64F">
                      <w:pPr>
                        <w:pStyle w:val="33"/>
                      </w:pPr>
                      <w:r>
                        <w:rPr>
                          <w:rFonts w:hint="eastAsia"/>
                        </w:rPr>
                        <w:t>（征求意见稿）</w:t>
                      </w:r>
                    </w:p>
                    <w:p w14:paraId="3FD9BB29">
                      <w:pPr>
                        <w:widowControl/>
                        <w:shd w:val="clear" w:color="auto" w:fill="F5F5F5"/>
                        <w:ind w:firstLine="0"/>
                        <w:jc w:val="center"/>
                        <w:textAlignment w:val="top"/>
                        <w:rPr>
                          <w:rFonts w:ascii="Arial" w:hAnsi="Arial" w:cs="Arial"/>
                          <w:color w:val="888888"/>
                          <w:kern w:val="0"/>
                          <w:sz w:val="20"/>
                        </w:rPr>
                      </w:pPr>
                    </w:p>
                    <w:p w14:paraId="1EEDF468">
                      <w:pPr>
                        <w:pStyle w:val="20"/>
                      </w:pP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1401445</wp:posOffset>
                </wp:positionV>
                <wp:extent cx="5802630" cy="86042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14:paraId="28E6D1C1">
                            <w:pPr>
                              <w:pStyle w:val="34"/>
                            </w:pPr>
                            <w:r>
                              <w:rPr>
                                <w:rFonts w:hint="eastAsia"/>
                              </w:rPr>
                              <w:t>NY</w:t>
                            </w:r>
                            <w:r>
                              <w:t xml:space="preserve">/T </w:t>
                            </w:r>
                            <w:r>
                              <w:rPr>
                                <w:rFonts w:hint="eastAsia"/>
                              </w:rPr>
                              <w:sym w:font="Symbol" w:char="F0B4"/>
                            </w:r>
                            <w:r>
                              <w:rPr>
                                <w:rFonts w:hint="eastAsia"/>
                              </w:rPr>
                              <w:sym w:font="Symbol" w:char="F0B4"/>
                            </w:r>
                            <w:r>
                              <w:rPr>
                                <w:rFonts w:hint="eastAsia"/>
                              </w:rPr>
                              <w:sym w:font="Symbol" w:char="F0B4"/>
                            </w:r>
                            <w:r>
                              <w:rPr>
                                <w:rFonts w:hint="eastAsia"/>
                              </w:rPr>
                              <w:sym w:font="Symbol" w:char="F0B4"/>
                            </w:r>
                            <w:r>
                              <w:t>—</w:t>
                            </w:r>
                            <w:r>
                              <w:rPr>
                                <w:rFonts w:hint="eastAsia"/>
                              </w:rPr>
                              <w:t>20</w:t>
                            </w:r>
                            <w:r>
                              <w:rPr>
                                <w:rFonts w:hint="eastAsia"/>
                              </w:rPr>
                              <w:sym w:font="Symbol" w:char="F0B4"/>
                            </w:r>
                            <w:r>
                              <w:rPr>
                                <w:rFonts w:hint="eastAsia"/>
                              </w:rPr>
                              <w:sym w:font="Symbol" w:char="F0B4"/>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allowincell="f"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FAaT7&#10;2AAAAAgBAAAPAAAAAAAAAAEAIAAAACIAAABkcnMvZG93bnJldi54bWxQSwECFAAUAAAACACHTuJA&#10;rt9t2SECAAAuBAAADgAAAAAAAAABACAAAAAnAQAAZHJzL2Uyb0RvYy54bWxQSwUGAAAAAAYABgBZ&#10;AQAAugUAAAAA&#10;">
                <v:fill on="t" focussize="0,0"/>
                <v:stroke on="f"/>
                <v:imagedata o:title=""/>
                <o:lock v:ext="edit" aspectratio="f"/>
                <v:textbox inset="0mm,0mm,0mm,0mm">
                  <w:txbxContent>
                    <w:p w14:paraId="28E6D1C1">
                      <w:pPr>
                        <w:pStyle w:val="34"/>
                      </w:pPr>
                      <w:r>
                        <w:rPr>
                          <w:rFonts w:hint="eastAsia"/>
                        </w:rPr>
                        <w:t>NY</w:t>
                      </w:r>
                      <w:r>
                        <w:t xml:space="preserve">/T </w:t>
                      </w:r>
                      <w:r>
                        <w:rPr>
                          <w:rFonts w:hint="eastAsia"/>
                        </w:rPr>
                        <w:sym w:font="Symbol" w:char="F0B4"/>
                      </w:r>
                      <w:r>
                        <w:rPr>
                          <w:rFonts w:hint="eastAsia"/>
                        </w:rPr>
                        <w:sym w:font="Symbol" w:char="F0B4"/>
                      </w:r>
                      <w:r>
                        <w:rPr>
                          <w:rFonts w:hint="eastAsia"/>
                        </w:rPr>
                        <w:sym w:font="Symbol" w:char="F0B4"/>
                      </w:r>
                      <w:r>
                        <w:rPr>
                          <w:rFonts w:hint="eastAsia"/>
                        </w:rPr>
                        <w:sym w:font="Symbol" w:char="F0B4"/>
                      </w:r>
                      <w:r>
                        <w:t>—</w:t>
                      </w:r>
                      <w:r>
                        <w:rPr>
                          <w:rFonts w:hint="eastAsia"/>
                        </w:rPr>
                        <w:t>20</w:t>
                      </w:r>
                      <w:r>
                        <w:rPr>
                          <w:rFonts w:hint="eastAsia"/>
                        </w:rPr>
                        <w:sym w:font="Symbol" w:char="F0B4"/>
                      </w:r>
                      <w:r>
                        <w:rPr>
                          <w:rFonts w:hint="eastAsia"/>
                        </w:rPr>
                        <w:sym w:font="Symbol" w:char="F0B4"/>
                      </w:r>
                    </w:p>
                  </w:txbxContent>
                </v:textbox>
                <w10:anchorlock/>
              </v:shape>
            </w:pict>
          </mc:Fallback>
        </mc:AlternateContent>
      </w:r>
      <w: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1010920</wp:posOffset>
                </wp:positionV>
                <wp:extent cx="6120130" cy="3911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1EA4E906">
                            <w:pPr>
                              <w:pStyle w:val="35"/>
                            </w:pPr>
                            <w:r>
                              <w:rPr>
                                <w:rFonts w:hint="eastAsia"/>
                              </w:rPr>
                              <w:t>中华人民共和国农业行业标准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YORwXXAAAA&#10;CAEAAA8AAAAAAAAAAQAgAAAAIgAAAGRycy9kb3ducmV2LnhtbFBLAQIUABQAAAAIAIdO4kAvqUCx&#10;HgIAAC4EAAAOAAAAAAAAAAEAIAAAACYBAABkcnMvZTJvRG9jLnhtbFBLBQYAAAAABgAGAFkBAAC2&#10;BQAAAAA=&#10;">
                <v:fill on="t" focussize="0,0"/>
                <v:stroke on="f"/>
                <v:imagedata o:title=""/>
                <o:lock v:ext="edit" aspectratio="f"/>
                <v:textbox inset="0mm,0mm,0mm,0mm">
                  <w:txbxContent>
                    <w:p w14:paraId="1EA4E906">
                      <w:pPr>
                        <w:pStyle w:val="35"/>
                      </w:pPr>
                      <w:r>
                        <w:rPr>
                          <w:rFonts w:hint="eastAsia"/>
                        </w:rPr>
                        <w:t>中华人民共和国农业行业标准</w:t>
                      </w:r>
                    </w:p>
                  </w:txbxContent>
                </v:textbox>
                <w10:anchorlock/>
              </v:shape>
            </w:pict>
          </mc:Fallback>
        </mc:AlternateContent>
      </w:r>
    </w:p>
    <w:bookmarkEnd w:id="0"/>
    <w:p w14:paraId="1F70CC33">
      <w:pPr>
        <w:jc w:val="center"/>
        <w:rPr>
          <w:rFonts w:ascii="黑体" w:eastAsia="黑体"/>
          <w:color w:val="0D0D0D" w:themeColor="text1" w:themeTint="F2"/>
          <w:spacing w:val="5"/>
          <w:sz w:val="32"/>
          <w:szCs w:val="32"/>
          <w14:textFill>
            <w14:solidFill>
              <w14:schemeClr w14:val="tx1">
                <w14:lumMod w14:val="95000"/>
                <w14:lumOff w14:val="5000"/>
              </w14:schemeClr>
            </w14:solidFill>
          </w14:textFill>
        </w:rPr>
      </w:pPr>
      <w:bookmarkStart w:id="1" w:name="SectionMark4"/>
      <w:r>
        <w:rPr>
          <w:rFonts w:hint="eastAsia" w:ascii="黑体" w:eastAsia="黑体"/>
          <w:color w:val="0D0D0D" w:themeColor="text1" w:themeTint="F2"/>
          <w:spacing w:val="5"/>
          <w:sz w:val="32"/>
          <w:szCs w:val="32"/>
          <w14:textFill>
            <w14:solidFill>
              <w14:schemeClr w14:val="tx1">
                <w14:lumMod w14:val="95000"/>
                <w14:lumOff w14:val="5000"/>
              </w14:schemeClr>
            </w14:solidFill>
          </w14:textFill>
        </w:rPr>
        <w:t>前</w:t>
      </w:r>
      <w:r>
        <w:rPr>
          <w:rFonts w:ascii="黑体" w:eastAsia="黑体"/>
          <w:color w:val="0D0D0D" w:themeColor="text1" w:themeTint="F2"/>
          <w:spacing w:val="5"/>
          <w:sz w:val="32"/>
          <w:szCs w:val="32"/>
          <w14:textFill>
            <w14:solidFill>
              <w14:schemeClr w14:val="tx1">
                <w14:lumMod w14:val="95000"/>
                <w14:lumOff w14:val="5000"/>
              </w14:schemeClr>
            </w14:solidFill>
          </w14:textFill>
        </w:rPr>
        <w:t xml:space="preserve">   </w:t>
      </w:r>
      <w:r>
        <w:rPr>
          <w:rFonts w:hint="eastAsia" w:ascii="黑体" w:eastAsia="黑体"/>
          <w:color w:val="0D0D0D" w:themeColor="text1" w:themeTint="F2"/>
          <w:spacing w:val="5"/>
          <w:sz w:val="32"/>
          <w:szCs w:val="32"/>
          <w14:textFill>
            <w14:solidFill>
              <w14:schemeClr w14:val="tx1">
                <w14:lumMod w14:val="95000"/>
                <w14:lumOff w14:val="5000"/>
              </w14:schemeClr>
            </w14:solidFill>
          </w14:textFill>
        </w:rPr>
        <w:t>言</w:t>
      </w:r>
    </w:p>
    <w:p w14:paraId="45567D85">
      <w:pPr>
        <w:ind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本文件按照GB/T 1.1-2020</w:t>
      </w:r>
      <w:bookmarkStart w:id="2" w:name="_Hlk126655700"/>
      <w:r>
        <w:rPr>
          <w:rFonts w:hint="eastAsia"/>
          <w:color w:val="0D0D0D" w:themeColor="text1" w:themeTint="F2"/>
          <w14:textFill>
            <w14:solidFill>
              <w14:schemeClr w14:val="tx1">
                <w14:lumMod w14:val="95000"/>
                <w14:lumOff w14:val="5000"/>
              </w14:schemeClr>
            </w14:solidFill>
          </w14:textFill>
        </w:rPr>
        <w:t>《标准化工作导则 第 1</w:t>
      </w: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部分：标准化文件的结构和起草规则》</w:t>
      </w:r>
      <w:bookmarkEnd w:id="2"/>
      <w:r>
        <w:rPr>
          <w:rFonts w:hint="eastAsia"/>
          <w:color w:val="0D0D0D" w:themeColor="text1" w:themeTint="F2"/>
          <w14:textFill>
            <w14:solidFill>
              <w14:schemeClr w14:val="tx1">
                <w14:lumMod w14:val="95000"/>
                <w14:lumOff w14:val="5000"/>
              </w14:schemeClr>
            </w14:solidFill>
          </w14:textFill>
        </w:rPr>
        <w:t>的规定起草。</w:t>
      </w:r>
    </w:p>
    <w:p w14:paraId="221A2B9D">
      <w:pPr>
        <w:ind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w:t>
      </w:r>
      <w:bookmarkStart w:id="3" w:name="_Hlk144802180"/>
      <w:r>
        <w:rPr>
          <w:rFonts w:hint="eastAsia"/>
          <w:color w:val="0D0D0D" w:themeColor="text1" w:themeTint="F2"/>
          <w14:textFill>
            <w14:solidFill>
              <w14:schemeClr w14:val="tx1">
                <w14:lumMod w14:val="95000"/>
                <w14:lumOff w14:val="5000"/>
              </w14:schemeClr>
            </w14:solidFill>
          </w14:textFill>
        </w:rPr>
        <w:t>稻田土壤保育与碳氮协同减排技术规范</w:t>
      </w:r>
      <w:bookmarkEnd w:id="3"/>
      <w:r>
        <w:rPr>
          <w:rFonts w:hint="eastAsia"/>
          <w:color w:val="0D0D0D" w:themeColor="text1" w:themeTint="F2"/>
          <w14:textFill>
            <w14:solidFill>
              <w14:schemeClr w14:val="tx1">
                <w14:lumMod w14:val="95000"/>
                <w14:lumOff w14:val="5000"/>
              </w14:schemeClr>
            </w14:solidFill>
          </w14:textFill>
        </w:rPr>
        <w:t>》分为以下部分：</w:t>
      </w:r>
      <w:r>
        <w:rPr>
          <w:color w:val="0D0D0D" w:themeColor="text1" w:themeTint="F2"/>
          <w14:textFill>
            <w14:solidFill>
              <w14:schemeClr w14:val="tx1">
                <w14:lumMod w14:val="95000"/>
                <w14:lumOff w14:val="5000"/>
              </w14:schemeClr>
            </w14:solidFill>
          </w14:textFill>
        </w:rPr>
        <w:t xml:space="preserve"> </w:t>
      </w:r>
    </w:p>
    <w:p w14:paraId="6107E6C6">
      <w:pPr>
        <w:ind w:firstLineChars="2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第1部分：南方稻麦轮作区；</w:t>
      </w:r>
    </w:p>
    <w:p w14:paraId="072D1160">
      <w:pPr>
        <w:ind w:firstLineChars="2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第</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部分：南方双季稻区；</w:t>
      </w:r>
    </w:p>
    <w:p w14:paraId="67004260">
      <w:pPr>
        <w:ind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w:t>
      </w:r>
    </w:p>
    <w:p w14:paraId="0FFF470D">
      <w:pPr>
        <w:ind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本文件为第</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部分。</w:t>
      </w:r>
    </w:p>
    <w:p w14:paraId="4F557FF5">
      <w:pPr>
        <w:ind w:firstLineChars="200"/>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本文件由农业农村部科技教育司提出并归口。</w:t>
      </w:r>
    </w:p>
    <w:p w14:paraId="55D835DD">
      <w:pPr>
        <w:ind w:firstLine="420" w:firstLineChars="200"/>
        <w:rPr>
          <w:rFonts w:ascii="Times New Roman" w:hAnsi="Times New Roman"/>
          <w:color w:val="0D0D0D"/>
        </w:rPr>
      </w:pPr>
      <w:r>
        <w:rPr>
          <w:rFonts w:ascii="Times New Roman" w:hAnsi="Times New Roman"/>
          <w:color w:val="0D0D0D"/>
        </w:rPr>
        <w:t>本文件由农业农村部农业资源环境标准化技术委员会归口。</w:t>
      </w:r>
    </w:p>
    <w:p w14:paraId="1E1AC9B9">
      <w:pPr>
        <w:ind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本文件起草单位：中国农业科学院农业资源与农业区划研究所等。</w:t>
      </w:r>
    </w:p>
    <w:p w14:paraId="04B99162">
      <w:pPr>
        <w:ind w:firstLineChars="200"/>
        <w:rPr>
          <w:rFonts w:ascii="宋体"/>
          <w:bCs/>
          <w:color w:val="0D0D0D" w:themeColor="text1" w:themeTint="F2"/>
          <w:spacing w:val="5"/>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本文件主要起草人：。</w:t>
      </w:r>
    </w:p>
    <w:p w14:paraId="5E0B018A">
      <w:pPr>
        <w:spacing w:line="360" w:lineRule="auto"/>
        <w:jc w:val="center"/>
        <w:rPr>
          <w:rFonts w:eastAsia="黑体"/>
          <w:color w:val="0D0D0D" w:themeColor="text1" w:themeTint="F2"/>
          <w:sz w:val="36"/>
          <w:szCs w:val="36"/>
          <w14:textFill>
            <w14:solidFill>
              <w14:schemeClr w14:val="tx1">
                <w14:lumMod w14:val="95000"/>
                <w14:lumOff w14:val="5000"/>
              </w14:schemeClr>
            </w14:solidFill>
          </w14:textFill>
        </w:rPr>
      </w:pPr>
      <w:r>
        <w:rPr>
          <w:rFonts w:eastAsia="黑体"/>
          <w:color w:val="0D0D0D" w:themeColor="text1" w:themeTint="F2"/>
          <w:sz w:val="36"/>
          <w:szCs w:val="36"/>
          <w14:textFill>
            <w14:solidFill>
              <w14:schemeClr w14:val="tx1">
                <w14:lumMod w14:val="95000"/>
                <w14:lumOff w14:val="5000"/>
              </w14:schemeClr>
            </w14:solidFill>
          </w14:textFill>
        </w:rPr>
        <w:br w:type="page"/>
      </w:r>
    </w:p>
    <w:bookmarkEnd w:id="1"/>
    <w:p w14:paraId="6746FA06">
      <w:pPr>
        <w:spacing w:line="360" w:lineRule="auto"/>
        <w:ind w:firstLine="0"/>
        <w:jc w:val="center"/>
        <w:rPr>
          <w:rFonts w:eastAsia="黑体"/>
          <w:color w:val="0D0D0D" w:themeColor="text1" w:themeTint="F2"/>
          <w:sz w:val="32"/>
          <w:szCs w:val="32"/>
          <w14:textFill>
            <w14:solidFill>
              <w14:schemeClr w14:val="tx1">
                <w14:lumMod w14:val="95000"/>
                <w14:lumOff w14:val="5000"/>
              </w14:schemeClr>
            </w14:solidFill>
          </w14:textFill>
        </w:rPr>
      </w:pPr>
      <w:bookmarkStart w:id="4" w:name="_Hlk144800610"/>
      <w:bookmarkStart w:id="5" w:name="OLE_LINK1"/>
      <w:r>
        <w:rPr>
          <w:rFonts w:hint="eastAsia" w:eastAsia="黑体"/>
          <w:color w:val="0D0D0D" w:themeColor="text1" w:themeTint="F2"/>
          <w:sz w:val="32"/>
          <w:szCs w:val="32"/>
          <w14:textFill>
            <w14:solidFill>
              <w14:schemeClr w14:val="tx1">
                <w14:lumMod w14:val="95000"/>
                <w14:lumOff w14:val="5000"/>
              </w14:schemeClr>
            </w14:solidFill>
          </w14:textFill>
        </w:rPr>
        <w:t>稻田土壤保育与碳氮协同减排技术规范 第</w:t>
      </w:r>
      <w:r>
        <w:rPr>
          <w:rFonts w:eastAsia="黑体"/>
          <w:color w:val="0D0D0D" w:themeColor="text1" w:themeTint="F2"/>
          <w:sz w:val="32"/>
          <w:szCs w:val="32"/>
          <w14:textFill>
            <w14:solidFill>
              <w14:schemeClr w14:val="tx1">
                <w14:lumMod w14:val="95000"/>
                <w14:lumOff w14:val="5000"/>
              </w14:schemeClr>
            </w14:solidFill>
          </w14:textFill>
        </w:rPr>
        <w:t>2</w:t>
      </w:r>
      <w:r>
        <w:rPr>
          <w:rFonts w:hint="eastAsia" w:eastAsia="黑体"/>
          <w:color w:val="0D0D0D" w:themeColor="text1" w:themeTint="F2"/>
          <w:sz w:val="32"/>
          <w:szCs w:val="32"/>
          <w14:textFill>
            <w14:solidFill>
              <w14:schemeClr w14:val="tx1">
                <w14:lumMod w14:val="95000"/>
                <w14:lumOff w14:val="5000"/>
              </w14:schemeClr>
            </w14:solidFill>
          </w14:textFill>
        </w:rPr>
        <w:t>部分：南方双季稻区</w:t>
      </w:r>
      <w:bookmarkEnd w:id="4"/>
    </w:p>
    <w:bookmarkEnd w:id="5"/>
    <w:p w14:paraId="28F2B1CA">
      <w:pPr>
        <w:spacing w:before="240" w:after="240" w:line="276" w:lineRule="auto"/>
        <w:ind w:firstLine="0"/>
        <w:jc w:val="left"/>
        <w:outlineLvl w:val="0"/>
        <w:rPr>
          <w:rFonts w:ascii="黑体" w:hAnsi="黑体" w:eastAsia="黑体"/>
          <w:color w:val="0D0D0D" w:themeColor="text1" w:themeTint="F2"/>
          <w:szCs w:val="21"/>
          <w14:textFill>
            <w14:solidFill>
              <w14:schemeClr w14:val="tx1">
                <w14:lumMod w14:val="95000"/>
                <w14:lumOff w14:val="5000"/>
              </w14:schemeClr>
            </w14:solidFill>
          </w14:textFill>
        </w:rPr>
      </w:pPr>
      <w:r>
        <w:rPr>
          <w:rFonts w:ascii="黑体" w:hAnsi="黑体" w:eastAsia="黑体"/>
          <w:color w:val="0D0D0D" w:themeColor="text1" w:themeTint="F2"/>
          <w:szCs w:val="21"/>
          <w14:textFill>
            <w14:solidFill>
              <w14:schemeClr w14:val="tx1">
                <w14:lumMod w14:val="95000"/>
                <w14:lumOff w14:val="5000"/>
              </w14:schemeClr>
            </w14:solidFill>
          </w14:textFill>
        </w:rPr>
        <w:t>1 范围</w:t>
      </w:r>
    </w:p>
    <w:p w14:paraId="019B64A9">
      <w:pPr>
        <w:autoSpaceDE w:val="0"/>
        <w:autoSpaceDN w:val="0"/>
        <w:adjustRightInd w:val="0"/>
        <w:spacing w:line="276" w:lineRule="auto"/>
        <w:ind w:firstLineChars="200"/>
        <w:jc w:val="left"/>
        <w:rPr>
          <w:color w:val="0D0D0D" w:themeColor="text1" w:themeTint="F2"/>
          <w:kern w:val="0"/>
          <w:szCs w:val="21"/>
          <w14:textFill>
            <w14:solidFill>
              <w14:schemeClr w14:val="tx1">
                <w14:lumMod w14:val="95000"/>
                <w14:lumOff w14:val="5000"/>
              </w14:schemeClr>
            </w14:solidFill>
          </w14:textFill>
        </w:rPr>
      </w:pPr>
      <w:bookmarkStart w:id="6" w:name="_Hlk144803195"/>
      <w:r>
        <w:rPr>
          <w:rFonts w:hint="eastAsia"/>
          <w:color w:val="0D0D0D" w:themeColor="text1" w:themeTint="F2"/>
          <w:kern w:val="0"/>
          <w:szCs w:val="21"/>
          <w14:textFill>
            <w14:solidFill>
              <w14:schemeClr w14:val="tx1">
                <w14:lumMod w14:val="95000"/>
                <w14:lumOff w14:val="5000"/>
              </w14:schemeClr>
            </w14:solidFill>
          </w14:textFill>
        </w:rPr>
        <w:t>本文件规定了双季稻区土壤保育与碳氮协同减排的术语定义、基本原则和技术要求。</w:t>
      </w:r>
    </w:p>
    <w:p w14:paraId="41714571">
      <w:pPr>
        <w:autoSpaceDE w:val="0"/>
        <w:autoSpaceDN w:val="0"/>
        <w:adjustRightInd w:val="0"/>
        <w:spacing w:line="276" w:lineRule="auto"/>
        <w:ind w:firstLineChars="200"/>
        <w:jc w:val="left"/>
        <w:rPr>
          <w:color w:val="0D0D0D" w:themeColor="text1" w:themeTint="F2"/>
          <w:kern w:val="0"/>
          <w:szCs w:val="21"/>
          <w14:textFill>
            <w14:solidFill>
              <w14:schemeClr w14:val="tx1">
                <w14:lumMod w14:val="95000"/>
                <w14:lumOff w14:val="5000"/>
              </w14:schemeClr>
            </w14:solidFill>
          </w14:textFill>
        </w:rPr>
      </w:pPr>
      <w:bookmarkStart w:id="7" w:name="_Hlk74379626"/>
      <w:r>
        <w:rPr>
          <w:rFonts w:hint="eastAsia"/>
          <w:color w:val="0D0D0D" w:themeColor="text1" w:themeTint="F2"/>
          <w:kern w:val="0"/>
          <w:szCs w:val="21"/>
          <w14:textFill>
            <w14:solidFill>
              <w14:schemeClr w14:val="tx1">
                <w14:lumMod w14:val="95000"/>
                <w14:lumOff w14:val="5000"/>
              </w14:schemeClr>
            </w14:solidFill>
          </w14:textFill>
        </w:rPr>
        <w:t>本文件适用于双季稻区土壤保育与碳氮协同减排。</w:t>
      </w:r>
      <w:bookmarkEnd w:id="6"/>
    </w:p>
    <w:bookmarkEnd w:id="7"/>
    <w:p w14:paraId="3181D3AC">
      <w:pPr>
        <w:spacing w:before="240" w:after="240" w:line="276" w:lineRule="auto"/>
        <w:ind w:firstLine="0"/>
        <w:jc w:val="left"/>
        <w:outlineLvl w:val="0"/>
        <w:rPr>
          <w:rFonts w:ascii="黑体" w:hAnsi="黑体" w:eastAsia="黑体"/>
          <w:color w:val="0D0D0D" w:themeColor="text1" w:themeTint="F2"/>
          <w:szCs w:val="21"/>
          <w14:textFill>
            <w14:solidFill>
              <w14:schemeClr w14:val="tx1">
                <w14:lumMod w14:val="95000"/>
                <w14:lumOff w14:val="5000"/>
              </w14:schemeClr>
            </w14:solidFill>
          </w14:textFill>
        </w:rPr>
      </w:pPr>
      <w:r>
        <w:rPr>
          <w:rFonts w:ascii="黑体" w:hAnsi="黑体" w:eastAsia="黑体"/>
          <w:color w:val="0D0D0D" w:themeColor="text1" w:themeTint="F2"/>
          <w:szCs w:val="21"/>
          <w14:textFill>
            <w14:solidFill>
              <w14:schemeClr w14:val="tx1">
                <w14:lumMod w14:val="95000"/>
                <w14:lumOff w14:val="5000"/>
              </w14:schemeClr>
            </w14:solidFill>
          </w14:textFill>
        </w:rPr>
        <w:t>2 规范性引用文件</w:t>
      </w:r>
    </w:p>
    <w:p w14:paraId="5CA247B2">
      <w:pPr>
        <w:autoSpaceDE w:val="0"/>
        <w:autoSpaceDN w:val="0"/>
        <w:adjustRightInd w:val="0"/>
        <w:spacing w:line="276" w:lineRule="auto"/>
        <w:ind w:firstLineChars="200"/>
        <w:jc w:val="left"/>
        <w:rPr>
          <w:color w:val="FF0000"/>
          <w:szCs w:val="24"/>
        </w:rPr>
      </w:pPr>
      <w:r>
        <w:rPr>
          <w:rFonts w:hint="eastAsia"/>
          <w:color w:val="0D0D0D" w:themeColor="text1" w:themeTint="F2"/>
          <w14:textFill>
            <w14:solidFill>
              <w14:schemeClr w14:val="tx1">
                <w14:lumMod w14:val="95000"/>
                <w14:lumOff w14:val="5000"/>
              </w14:schemeClr>
            </w14:solidFill>
          </w14:textFill>
        </w:rPr>
        <w:t>下列文件中的内容通过文中的规范性引用而构成本文件必不可少的条款。不注日期的引用文件，其最新版本（包括所有的修改单）适用于本文件。</w:t>
      </w:r>
      <w:bookmarkStart w:id="8" w:name="OLE_LINK6"/>
      <w:bookmarkStart w:id="9" w:name="_Hlk118722136"/>
      <w:bookmarkStart w:id="10" w:name="_Hlk126655764"/>
    </w:p>
    <w:bookmarkEnd w:id="8"/>
    <w:bookmarkEnd w:id="9"/>
    <w:p w14:paraId="58A56C2D">
      <w:pPr>
        <w:rPr>
          <w:szCs w:val="24"/>
        </w:rPr>
      </w:pPr>
      <w:bookmarkStart w:id="11" w:name="_Hlk174890592"/>
      <w:r>
        <w:rPr>
          <w:rFonts w:hint="eastAsia"/>
          <w:szCs w:val="24"/>
        </w:rPr>
        <w:t>GB/T 30600</w:t>
      </w:r>
      <w:r>
        <w:rPr>
          <w:szCs w:val="24"/>
        </w:rPr>
        <w:t xml:space="preserve"> </w:t>
      </w:r>
      <w:r>
        <w:rPr>
          <w:rFonts w:hint="eastAsia"/>
          <w:szCs w:val="24"/>
        </w:rPr>
        <w:t xml:space="preserve"> 高标准农田建设 通则</w:t>
      </w:r>
      <w:bookmarkEnd w:id="11"/>
    </w:p>
    <w:p w14:paraId="5D33E57E">
      <w:pPr>
        <w:ind w:firstLineChars="200"/>
        <w:rPr>
          <w:color w:val="0D0D0D" w:themeColor="text1" w:themeTint="F2"/>
          <w14:textFill>
            <w14:solidFill>
              <w14:schemeClr w14:val="tx1">
                <w14:lumMod w14:val="95000"/>
                <w14:lumOff w14:val="5000"/>
              </w14:schemeClr>
            </w14:solidFill>
          </w14:textFill>
        </w:rPr>
      </w:pPr>
      <w:bookmarkStart w:id="12" w:name="_Hlk174890613"/>
      <w:r>
        <w:rPr>
          <w:rFonts w:hint="eastAsia"/>
          <w:color w:val="0D0D0D" w:themeColor="text1" w:themeTint="F2"/>
          <w14:textFill>
            <w14:solidFill>
              <w14:schemeClr w14:val="tx1">
                <w14:lumMod w14:val="95000"/>
                <w14:lumOff w14:val="5000"/>
              </w14:schemeClr>
            </w14:solidFill>
          </w14:textFill>
        </w:rPr>
        <w:t xml:space="preserve">NY/T 3823 </w:t>
      </w: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田沟塘协同防控农田面源污染技术规范</w:t>
      </w:r>
      <w:bookmarkEnd w:id="12"/>
    </w:p>
    <w:p w14:paraId="2AF8093D">
      <w:pPr>
        <w:rPr>
          <w:color w:val="0D0D0D" w:themeColor="text1" w:themeTint="F2"/>
          <w:szCs w:val="24"/>
          <w14:textFill>
            <w14:solidFill>
              <w14:schemeClr w14:val="tx1">
                <w14:lumMod w14:val="95000"/>
                <w14:lumOff w14:val="5000"/>
              </w14:schemeClr>
            </w14:solidFill>
          </w14:textFill>
        </w:rPr>
      </w:pPr>
      <w:r>
        <w:rPr>
          <w:rFonts w:hint="eastAsia"/>
          <w:color w:val="0D0D0D" w:themeColor="text1" w:themeTint="F2"/>
          <w:szCs w:val="24"/>
          <w14:textFill>
            <w14:solidFill>
              <w14:schemeClr w14:val="tx1">
                <w14:lumMod w14:val="95000"/>
                <w14:lumOff w14:val="5000"/>
              </w14:schemeClr>
            </w14:solidFill>
          </w14:textFill>
        </w:rPr>
        <w:t>N</w:t>
      </w:r>
      <w:r>
        <w:rPr>
          <w:color w:val="0D0D0D" w:themeColor="text1" w:themeTint="F2"/>
          <w:szCs w:val="24"/>
          <w14:textFill>
            <w14:solidFill>
              <w14:schemeClr w14:val="tx1">
                <w14:lumMod w14:val="95000"/>
                <w14:lumOff w14:val="5000"/>
              </w14:schemeClr>
            </w14:solidFill>
          </w14:textFill>
        </w:rPr>
        <w:t xml:space="preserve">Y/T 3840  </w:t>
      </w:r>
      <w:r>
        <w:rPr>
          <w:rFonts w:hint="eastAsia"/>
          <w:color w:val="0D0D0D" w:themeColor="text1" w:themeTint="F2"/>
          <w:szCs w:val="24"/>
          <w14:textFill>
            <w14:solidFill>
              <w14:schemeClr w14:val="tx1">
                <w14:lumMod w14:val="95000"/>
                <w14:lumOff w14:val="5000"/>
              </w14:schemeClr>
            </w14:solidFill>
          </w14:textFill>
        </w:rPr>
        <w:t>南方稻田绿肥种植与利用技术规范</w:t>
      </w:r>
    </w:p>
    <w:bookmarkEnd w:id="10"/>
    <w:p w14:paraId="0887234F">
      <w:pPr>
        <w:spacing w:before="240" w:after="240" w:line="276" w:lineRule="auto"/>
        <w:ind w:firstLine="0"/>
        <w:jc w:val="left"/>
        <w:outlineLvl w:val="0"/>
        <w:rPr>
          <w:rFonts w:ascii="黑体" w:hAnsi="黑体" w:eastAsia="黑体"/>
          <w:color w:val="0D0D0D" w:themeColor="text1" w:themeTint="F2"/>
          <w:szCs w:val="21"/>
          <w14:textFill>
            <w14:solidFill>
              <w14:schemeClr w14:val="tx1">
                <w14:lumMod w14:val="95000"/>
                <w14:lumOff w14:val="5000"/>
              </w14:schemeClr>
            </w14:solidFill>
          </w14:textFill>
        </w:rPr>
      </w:pPr>
      <w:r>
        <w:rPr>
          <w:rFonts w:ascii="黑体" w:hAnsi="黑体" w:eastAsia="黑体"/>
          <w:color w:val="0D0D0D" w:themeColor="text1" w:themeTint="F2"/>
          <w:szCs w:val="21"/>
          <w14:textFill>
            <w14:solidFill>
              <w14:schemeClr w14:val="tx1">
                <w14:lumMod w14:val="95000"/>
                <w14:lumOff w14:val="5000"/>
              </w14:schemeClr>
            </w14:solidFill>
          </w14:textFill>
        </w:rPr>
        <w:t>3 术语和定义</w:t>
      </w:r>
    </w:p>
    <w:p w14:paraId="43623F60">
      <w:pPr>
        <w:autoSpaceDE w:val="0"/>
        <w:autoSpaceDN w:val="0"/>
        <w:adjustRightInd w:val="0"/>
        <w:spacing w:line="276" w:lineRule="auto"/>
        <w:ind w:firstLineChars="200"/>
        <w:jc w:val="left"/>
        <w:rPr>
          <w:bCs/>
          <w:color w:val="0D0D0D" w:themeColor="text1" w:themeTint="F2"/>
          <w:szCs w:val="21"/>
          <w14:textFill>
            <w14:solidFill>
              <w14:schemeClr w14:val="tx1">
                <w14:lumMod w14:val="95000"/>
                <w14:lumOff w14:val="5000"/>
              </w14:schemeClr>
            </w14:solidFill>
          </w14:textFill>
        </w:rPr>
      </w:pPr>
      <w:r>
        <w:rPr>
          <w:bCs/>
          <w:color w:val="0D0D0D" w:themeColor="text1" w:themeTint="F2"/>
          <w:szCs w:val="21"/>
          <w14:textFill>
            <w14:solidFill>
              <w14:schemeClr w14:val="tx1">
                <w14:lumMod w14:val="95000"/>
                <w14:lumOff w14:val="5000"/>
              </w14:schemeClr>
            </w14:solidFill>
          </w14:textFill>
        </w:rPr>
        <w:t>下</w:t>
      </w:r>
      <w:r>
        <w:rPr>
          <w:rFonts w:hint="eastAsia"/>
          <w:bCs/>
          <w:color w:val="0D0D0D" w:themeColor="text1" w:themeTint="F2"/>
          <w:szCs w:val="21"/>
          <w14:textFill>
            <w14:solidFill>
              <w14:schemeClr w14:val="tx1">
                <w14:lumMod w14:val="95000"/>
                <w14:lumOff w14:val="5000"/>
              </w14:schemeClr>
            </w14:solidFill>
          </w14:textFill>
        </w:rPr>
        <w:t>列</w:t>
      </w:r>
      <w:r>
        <w:rPr>
          <w:bCs/>
          <w:color w:val="0D0D0D" w:themeColor="text1" w:themeTint="F2"/>
          <w:szCs w:val="21"/>
          <w14:textFill>
            <w14:solidFill>
              <w14:schemeClr w14:val="tx1">
                <w14:lumMod w14:val="95000"/>
                <w14:lumOff w14:val="5000"/>
              </w14:schemeClr>
            </w14:solidFill>
          </w14:textFill>
        </w:rPr>
        <w:t>术语和定义适用于本文件。</w:t>
      </w:r>
    </w:p>
    <w:p w14:paraId="57706746">
      <w:pPr>
        <w:spacing w:before="156" w:beforeLines="50" w:after="156" w:afterLines="50" w:line="240" w:lineRule="auto"/>
        <w:ind w:firstLine="0"/>
        <w:outlineLvl w:val="1"/>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3</w:t>
      </w:r>
      <w:r>
        <w:rPr>
          <w:rFonts w:ascii="黑体" w:hAnsi="黑体" w:eastAsia="黑体"/>
          <w:bCs/>
          <w:color w:val="000000" w:themeColor="text1"/>
          <w:szCs w:val="21"/>
          <w14:textFill>
            <w14:solidFill>
              <w14:schemeClr w14:val="tx1"/>
            </w14:solidFill>
          </w14:textFill>
        </w:rPr>
        <w:t>.1</w:t>
      </w:r>
    </w:p>
    <w:p w14:paraId="0E36BAEE">
      <w:pPr>
        <w:spacing w:before="156" w:beforeLines="50" w:after="156" w:afterLines="50" w:line="240" w:lineRule="auto"/>
        <w:ind w:firstLine="0"/>
        <w:outlineLvl w:val="1"/>
        <w:rPr>
          <w:rFonts w:ascii="黑体" w:hAnsi="黑体" w:eastAsia="黑体"/>
          <w:bCs/>
          <w:color w:val="000000" w:themeColor="text1"/>
          <w:szCs w:val="21"/>
          <w14:textFill>
            <w14:solidFill>
              <w14:schemeClr w14:val="tx1"/>
            </w14:solidFill>
          </w14:textFill>
        </w:rPr>
      </w:pPr>
      <w:bookmarkStart w:id="13" w:name="_Hlk170327373"/>
      <w:bookmarkStart w:id="14" w:name="_Hlk170327457"/>
      <w:r>
        <w:rPr>
          <w:rFonts w:hint="eastAsia" w:ascii="黑体" w:hAnsi="黑体" w:eastAsia="黑体"/>
          <w:bCs/>
          <w:color w:val="000000" w:themeColor="text1"/>
          <w:szCs w:val="21"/>
          <w14:textFill>
            <w14:solidFill>
              <w14:schemeClr w14:val="tx1"/>
            </w14:solidFill>
          </w14:textFill>
        </w:rPr>
        <w:t>土壤保育</w:t>
      </w:r>
      <w:bookmarkEnd w:id="13"/>
      <w:r>
        <w:rPr>
          <w:rFonts w:hint="eastAsia" w:ascii="黑体" w:hAnsi="黑体" w:eastAsia="黑体"/>
          <w:bCs/>
          <w:color w:val="000000" w:themeColor="text1"/>
          <w:szCs w:val="21"/>
          <w14:textFill>
            <w14:solidFill>
              <w14:schemeClr w14:val="tx1"/>
            </w14:solidFill>
          </w14:textFill>
        </w:rPr>
        <w:t xml:space="preserve"> </w:t>
      </w:r>
      <w:r>
        <w:rPr>
          <w:rFonts w:ascii="黑体" w:hAnsi="黑体" w:eastAsia="黑体"/>
          <w:bCs/>
          <w:color w:val="000000" w:themeColor="text1"/>
          <w:szCs w:val="21"/>
          <w14:textFill>
            <w14:solidFill>
              <w14:schemeClr w14:val="tx1"/>
            </w14:solidFill>
          </w14:textFill>
        </w:rPr>
        <w:t>S</w:t>
      </w:r>
      <w:r>
        <w:rPr>
          <w:rFonts w:hint="eastAsia" w:ascii="黑体" w:hAnsi="黑体" w:eastAsia="黑体"/>
          <w:bCs/>
          <w:color w:val="000000" w:themeColor="text1"/>
          <w:szCs w:val="21"/>
          <w14:textFill>
            <w14:solidFill>
              <w14:schemeClr w14:val="tx1"/>
            </w14:solidFill>
          </w14:textFill>
        </w:rPr>
        <w:t>oil</w:t>
      </w:r>
      <w:r>
        <w:rPr>
          <w:rFonts w:ascii="黑体" w:hAnsi="黑体" w:eastAsia="黑体"/>
          <w:bCs/>
          <w:color w:val="000000" w:themeColor="text1"/>
          <w:szCs w:val="21"/>
          <w14:textFill>
            <w14:solidFill>
              <w14:schemeClr w14:val="tx1"/>
            </w14:solidFill>
          </w14:textFill>
        </w:rPr>
        <w:t xml:space="preserve"> conservation</w:t>
      </w:r>
    </w:p>
    <w:bookmarkEnd w:id="14"/>
    <w:p w14:paraId="51392101">
      <w:pPr>
        <w:autoSpaceDE w:val="0"/>
        <w:autoSpaceDN w:val="0"/>
        <w:adjustRightInd w:val="0"/>
        <w:spacing w:line="276" w:lineRule="auto"/>
        <w:ind w:firstLineChars="200"/>
        <w:jc w:val="left"/>
        <w:rPr>
          <w:rFonts w:eastAsiaTheme="minorEastAsia"/>
        </w:rPr>
      </w:pPr>
      <w:bookmarkStart w:id="15" w:name="_Hlk170327469"/>
      <w:r>
        <w:rPr>
          <w:rFonts w:hint="eastAsia" w:eastAsiaTheme="minorEastAsia"/>
        </w:rPr>
        <w:t>是指通过一系列措施，</w:t>
      </w:r>
      <w:r>
        <w:rPr>
          <w:rFonts w:hint="eastAsia" w:ascii="宋体" w:hAnsi="宋体" w:cs="宋体"/>
        </w:rPr>
        <w:t>保持土壤生产力并提升土壤生态功能</w:t>
      </w:r>
      <w:r>
        <w:rPr>
          <w:rFonts w:hint="eastAsia" w:eastAsiaTheme="minorEastAsia"/>
        </w:rPr>
        <w:t>。</w:t>
      </w:r>
      <w:bookmarkEnd w:id="15"/>
    </w:p>
    <w:p w14:paraId="00D06E96">
      <w:pPr>
        <w:spacing w:before="156" w:beforeLines="50" w:after="156" w:afterLines="50" w:line="240" w:lineRule="auto"/>
        <w:ind w:firstLine="0"/>
        <w:outlineLvl w:val="1"/>
        <w:rPr>
          <w:rFonts w:ascii="黑体" w:hAnsi="黑体" w:eastAsia="黑体"/>
          <w:bCs/>
          <w:color w:val="0D0D0D" w:themeColor="text1" w:themeTint="F2"/>
          <w:szCs w:val="21"/>
          <w14:textFill>
            <w14:solidFill>
              <w14:schemeClr w14:val="tx1">
                <w14:lumMod w14:val="95000"/>
                <w14:lumOff w14:val="5000"/>
              </w14:schemeClr>
            </w14:solidFill>
          </w14:textFill>
        </w:rPr>
      </w:pPr>
      <w:bookmarkStart w:id="16" w:name="_Hlk126655802"/>
      <w:r>
        <w:rPr>
          <w:rFonts w:hint="eastAsia" w:ascii="黑体" w:hAnsi="黑体" w:eastAsia="黑体"/>
          <w:bCs/>
          <w:color w:val="0D0D0D" w:themeColor="text1" w:themeTint="F2"/>
          <w:szCs w:val="21"/>
          <w14:textFill>
            <w14:solidFill>
              <w14:schemeClr w14:val="tx1">
                <w14:lumMod w14:val="95000"/>
                <w14:lumOff w14:val="5000"/>
              </w14:schemeClr>
            </w14:solidFill>
          </w14:textFill>
        </w:rPr>
        <w:t>3</w:t>
      </w:r>
      <w:r>
        <w:rPr>
          <w:rFonts w:ascii="黑体" w:hAnsi="黑体" w:eastAsia="黑体"/>
          <w:bCs/>
          <w:color w:val="0D0D0D" w:themeColor="text1" w:themeTint="F2"/>
          <w:szCs w:val="21"/>
          <w14:textFill>
            <w14:solidFill>
              <w14:schemeClr w14:val="tx1">
                <w14:lumMod w14:val="95000"/>
                <w14:lumOff w14:val="5000"/>
              </w14:schemeClr>
            </w14:solidFill>
          </w14:textFill>
        </w:rPr>
        <w:t>.</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2</w:t>
      </w:r>
    </w:p>
    <w:p w14:paraId="572F11FC">
      <w:pPr>
        <w:spacing w:before="156" w:beforeLines="50" w:after="156" w:afterLines="50" w:line="240" w:lineRule="auto"/>
        <w:ind w:firstLine="0"/>
        <w:outlineLvl w:val="1"/>
        <w:rPr>
          <w:rFonts w:ascii="黑体" w:hAnsi="黑体" w:eastAsia="黑体"/>
          <w:bCs/>
          <w:color w:val="000000" w:themeColor="text1"/>
          <w:szCs w:val="21"/>
          <w14:textFill>
            <w14:solidFill>
              <w14:schemeClr w14:val="tx1"/>
            </w14:solidFill>
          </w14:textFill>
        </w:rPr>
      </w:pPr>
      <w:bookmarkStart w:id="17" w:name="_Hlk170327390"/>
      <w:bookmarkStart w:id="18" w:name="_Hlk170327534"/>
      <w:r>
        <w:rPr>
          <w:rFonts w:hint="eastAsia" w:ascii="黑体" w:hAnsi="黑体" w:eastAsia="黑体"/>
          <w:bCs/>
          <w:color w:val="000000" w:themeColor="text1"/>
          <w:szCs w:val="21"/>
          <w14:textFill>
            <w14:solidFill>
              <w14:schemeClr w14:val="tx1"/>
            </w14:solidFill>
          </w14:textFill>
        </w:rPr>
        <w:t>碳氮排放风险期</w:t>
      </w:r>
      <w:bookmarkEnd w:id="17"/>
      <w:r>
        <w:rPr>
          <w:rFonts w:hint="eastAsia" w:ascii="黑体" w:hAnsi="黑体" w:eastAsia="黑体"/>
          <w:bCs/>
          <w:color w:val="000000" w:themeColor="text1"/>
          <w:szCs w:val="21"/>
          <w14:textFill>
            <w14:solidFill>
              <w14:schemeClr w14:val="tx1"/>
            </w14:solidFill>
          </w14:textFill>
        </w:rPr>
        <w:t xml:space="preserve"> Carbon and nitrogen emission risk period</w:t>
      </w:r>
    </w:p>
    <w:p w14:paraId="43D1D1CE">
      <w:pPr>
        <w:autoSpaceDE w:val="0"/>
        <w:autoSpaceDN w:val="0"/>
        <w:adjustRightInd w:val="0"/>
        <w:spacing w:line="276" w:lineRule="auto"/>
        <w:ind w:firstLineChars="200"/>
        <w:jc w:val="left"/>
        <w:rPr>
          <w:rFonts w:eastAsiaTheme="minorEastAsia"/>
        </w:rPr>
      </w:pPr>
      <w:r>
        <w:rPr>
          <w:rFonts w:hint="eastAsia" w:eastAsiaTheme="minorEastAsia"/>
        </w:rPr>
        <w:t>南方双季稻田甲烷排放通量高，田面水氮素浓度高且易排放的时期，两者叠加时期为碳氮排放叠加风险期。</w:t>
      </w:r>
    </w:p>
    <w:bookmarkEnd w:id="18"/>
    <w:p w14:paraId="636AA84C">
      <w:pPr>
        <w:spacing w:before="156" w:beforeLines="50" w:after="156" w:afterLines="50" w:line="240" w:lineRule="auto"/>
        <w:ind w:firstLine="0"/>
        <w:outlineLvl w:val="1"/>
        <w:rPr>
          <w:rFonts w:ascii="黑体" w:hAnsi="黑体" w:eastAsia="黑体"/>
          <w:bCs/>
          <w:color w:val="0D0D0D" w:themeColor="text1" w:themeTint="F2"/>
          <w:szCs w:val="21"/>
          <w14:textFill>
            <w14:solidFill>
              <w14:schemeClr w14:val="tx1">
                <w14:lumMod w14:val="95000"/>
                <w14:lumOff w14:val="5000"/>
              </w14:schemeClr>
            </w14:solidFill>
          </w14:textFill>
        </w:rPr>
      </w:pPr>
      <w:r>
        <w:rPr>
          <w:rFonts w:hint="eastAsia" w:ascii="黑体" w:hAnsi="黑体" w:eastAsia="黑体"/>
          <w:bCs/>
          <w:color w:val="0D0D0D" w:themeColor="text1" w:themeTint="F2"/>
          <w:szCs w:val="21"/>
          <w14:textFill>
            <w14:solidFill>
              <w14:schemeClr w14:val="tx1">
                <w14:lumMod w14:val="95000"/>
                <w14:lumOff w14:val="5000"/>
              </w14:schemeClr>
            </w14:solidFill>
          </w14:textFill>
        </w:rPr>
        <w:t>3</w:t>
      </w:r>
      <w:r>
        <w:rPr>
          <w:rFonts w:ascii="黑体" w:hAnsi="黑体" w:eastAsia="黑体"/>
          <w:bCs/>
          <w:color w:val="0D0D0D" w:themeColor="text1" w:themeTint="F2"/>
          <w:szCs w:val="21"/>
          <w14:textFill>
            <w14:solidFill>
              <w14:schemeClr w14:val="tx1">
                <w14:lumMod w14:val="95000"/>
                <w14:lumOff w14:val="5000"/>
              </w14:schemeClr>
            </w14:solidFill>
          </w14:textFill>
        </w:rPr>
        <w:t>.</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3</w:t>
      </w:r>
    </w:p>
    <w:p w14:paraId="0DC74AFF">
      <w:pPr>
        <w:spacing w:before="156" w:beforeLines="50" w:after="156" w:afterLines="50" w:line="240" w:lineRule="auto"/>
        <w:ind w:firstLine="0"/>
        <w:outlineLvl w:val="1"/>
        <w:rPr>
          <w:rFonts w:ascii="黑体" w:hAnsi="黑体" w:eastAsia="黑体"/>
          <w:bCs/>
          <w:color w:val="000000" w:themeColor="text1"/>
          <w:szCs w:val="21"/>
          <w14:textFill>
            <w14:solidFill>
              <w14:schemeClr w14:val="tx1"/>
            </w14:solidFill>
          </w14:textFill>
        </w:rPr>
      </w:pPr>
      <w:bookmarkStart w:id="19" w:name="_Hlk170327408"/>
      <w:bookmarkStart w:id="20" w:name="_Hlk170327616"/>
      <w:r>
        <w:rPr>
          <w:rFonts w:hint="eastAsia" w:ascii="黑体" w:hAnsi="黑体" w:eastAsia="黑体"/>
          <w:bCs/>
          <w:color w:val="000000" w:themeColor="text1"/>
          <w:szCs w:val="21"/>
          <w14:textFill>
            <w14:solidFill>
              <w14:schemeClr w14:val="tx1"/>
            </w14:solidFill>
          </w14:textFill>
        </w:rPr>
        <w:t>碳氮协同减排</w:t>
      </w:r>
      <w:bookmarkEnd w:id="19"/>
      <w:r>
        <w:rPr>
          <w:rFonts w:hint="eastAsia" w:ascii="黑体" w:hAnsi="黑体" w:eastAsia="黑体"/>
          <w:bCs/>
          <w:color w:val="000000" w:themeColor="text1"/>
          <w:szCs w:val="21"/>
          <w14:textFill>
            <w14:solidFill>
              <w14:schemeClr w14:val="tx1"/>
            </w14:solidFill>
          </w14:textFill>
        </w:rPr>
        <w:t xml:space="preserve"> Carbon-nitrogen synergistic emission reduction</w:t>
      </w:r>
    </w:p>
    <w:bookmarkEnd w:id="20"/>
    <w:p w14:paraId="3194D4E1">
      <w:pPr>
        <w:autoSpaceDE w:val="0"/>
        <w:autoSpaceDN w:val="0"/>
        <w:adjustRightInd w:val="0"/>
        <w:spacing w:line="276" w:lineRule="auto"/>
        <w:ind w:firstLineChars="200"/>
        <w:jc w:val="left"/>
        <w:rPr>
          <w:rFonts w:eastAsiaTheme="minorEastAsia"/>
        </w:rPr>
      </w:pPr>
      <w:bookmarkStart w:id="21" w:name="_Hlk170327629"/>
      <w:r>
        <w:rPr>
          <w:rFonts w:eastAsiaTheme="minorEastAsia"/>
        </w:rPr>
        <w:t>通过</w:t>
      </w:r>
      <w:r>
        <w:rPr>
          <w:rFonts w:hint="eastAsia" w:eastAsiaTheme="minorEastAsia"/>
        </w:rPr>
        <w:t>优化水肥管理及农艺措施</w:t>
      </w:r>
      <w:r>
        <w:rPr>
          <w:rFonts w:eastAsiaTheme="minorEastAsia"/>
        </w:rPr>
        <w:t>，</w:t>
      </w:r>
      <w:r>
        <w:rPr>
          <w:rFonts w:hint="eastAsia" w:eastAsiaTheme="minorEastAsia"/>
        </w:rPr>
        <w:t>同时</w:t>
      </w:r>
      <w:r>
        <w:rPr>
          <w:rFonts w:eastAsiaTheme="minorEastAsia"/>
        </w:rPr>
        <w:t>减少</w:t>
      </w:r>
      <w:r>
        <w:rPr>
          <w:rFonts w:hint="eastAsia" w:eastAsiaTheme="minorEastAsia"/>
        </w:rPr>
        <w:t>双季稻轮作区</w:t>
      </w:r>
      <w:r>
        <w:rPr>
          <w:rFonts w:eastAsiaTheme="minorEastAsia"/>
        </w:rPr>
        <w:t>农田甲烷</w:t>
      </w:r>
      <w:r>
        <w:rPr>
          <w:rFonts w:hint="eastAsia" w:eastAsiaTheme="minorEastAsia"/>
        </w:rPr>
        <w:t>和氮</w:t>
      </w:r>
      <w:r>
        <w:rPr>
          <w:rFonts w:eastAsiaTheme="minorEastAsia"/>
        </w:rPr>
        <w:t>排放</w:t>
      </w:r>
      <w:bookmarkEnd w:id="21"/>
      <w:r>
        <w:rPr>
          <w:rFonts w:eastAsiaTheme="minorEastAsia"/>
        </w:rPr>
        <w:t>。</w:t>
      </w:r>
    </w:p>
    <w:p w14:paraId="35B79714">
      <w:pPr>
        <w:spacing w:before="156" w:beforeLines="50" w:after="156" w:afterLines="50" w:line="240" w:lineRule="auto"/>
        <w:ind w:firstLine="0"/>
        <w:outlineLvl w:val="1"/>
        <w:rPr>
          <w:rFonts w:ascii="黑体" w:hAnsi="黑体" w:eastAsia="黑体"/>
          <w:bCs/>
          <w:color w:val="0D0D0D" w:themeColor="text1" w:themeTint="F2"/>
          <w:szCs w:val="21"/>
          <w14:textFill>
            <w14:solidFill>
              <w14:schemeClr w14:val="tx1">
                <w14:lumMod w14:val="95000"/>
                <w14:lumOff w14:val="5000"/>
              </w14:schemeClr>
            </w14:solidFill>
          </w14:textFill>
        </w:rPr>
      </w:pPr>
      <w:r>
        <w:rPr>
          <w:rFonts w:hint="eastAsia" w:ascii="黑体" w:hAnsi="黑体" w:eastAsia="黑体"/>
          <w:bCs/>
          <w:color w:val="0D0D0D" w:themeColor="text1" w:themeTint="F2"/>
          <w:szCs w:val="21"/>
          <w14:textFill>
            <w14:solidFill>
              <w14:schemeClr w14:val="tx1">
                <w14:lumMod w14:val="95000"/>
                <w14:lumOff w14:val="5000"/>
              </w14:schemeClr>
            </w14:solidFill>
          </w14:textFill>
        </w:rPr>
        <w:t>3</w:t>
      </w:r>
      <w:r>
        <w:rPr>
          <w:rFonts w:ascii="黑体" w:hAnsi="黑体" w:eastAsia="黑体"/>
          <w:bCs/>
          <w:color w:val="0D0D0D" w:themeColor="text1" w:themeTint="F2"/>
          <w:szCs w:val="21"/>
          <w14:textFill>
            <w14:solidFill>
              <w14:schemeClr w14:val="tx1">
                <w14:lumMod w14:val="95000"/>
                <w14:lumOff w14:val="5000"/>
              </w14:schemeClr>
            </w14:solidFill>
          </w14:textFill>
        </w:rPr>
        <w:t>.</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4</w:t>
      </w:r>
    </w:p>
    <w:p w14:paraId="5F2B9DD9">
      <w:pPr>
        <w:spacing w:before="156" w:beforeLines="50" w:after="156" w:afterLines="50" w:line="240" w:lineRule="auto"/>
        <w:ind w:firstLine="0"/>
        <w:outlineLvl w:val="1"/>
        <w:rPr>
          <w:rFonts w:ascii="黑体" w:hAnsi="黑体" w:eastAsia="黑体"/>
          <w:bCs/>
          <w:color w:val="000000" w:themeColor="text1"/>
          <w:szCs w:val="21"/>
          <w14:textFill>
            <w14:solidFill>
              <w14:schemeClr w14:val="tx1"/>
            </w14:solidFill>
          </w14:textFill>
        </w:rPr>
      </w:pPr>
      <w:bookmarkStart w:id="22" w:name="_Hlk170327419"/>
      <w:bookmarkStart w:id="23" w:name="_Hlk170327663"/>
      <w:bookmarkStart w:id="24" w:name="_Hlk170327684"/>
      <w:r>
        <w:rPr>
          <w:rFonts w:hint="eastAsia" w:ascii="黑体" w:hAnsi="黑体" w:eastAsia="黑体"/>
          <w:bCs/>
          <w:color w:val="000000" w:themeColor="text1"/>
          <w:szCs w:val="21"/>
          <w14:textFill>
            <w14:solidFill>
              <w14:schemeClr w14:val="tx1"/>
            </w14:solidFill>
          </w14:textFill>
        </w:rPr>
        <w:t>灌排单元 Irrigation and drainage unit</w:t>
      </w:r>
      <w:bookmarkEnd w:id="22"/>
      <w:bookmarkEnd w:id="23"/>
      <w:bookmarkEnd w:id="24"/>
    </w:p>
    <w:p w14:paraId="275387E4">
      <w:pPr>
        <w:autoSpaceDE w:val="0"/>
        <w:autoSpaceDN w:val="0"/>
        <w:adjustRightInd w:val="0"/>
        <w:spacing w:line="276" w:lineRule="auto"/>
        <w:ind w:firstLineChars="200"/>
        <w:jc w:val="left"/>
        <w:rPr>
          <w:rFonts w:eastAsiaTheme="minorEastAsia"/>
        </w:rPr>
      </w:pPr>
      <w:bookmarkStart w:id="25" w:name="_Hlk170327672"/>
      <w:r>
        <w:rPr>
          <w:rFonts w:hint="eastAsia" w:eastAsiaTheme="minorEastAsia"/>
        </w:rPr>
        <w:t>由农田与紧邻的沟渠和池塘等组成的相对独立的灌溉排水系统</w:t>
      </w:r>
      <w:bookmarkEnd w:id="25"/>
      <w:r>
        <w:rPr>
          <w:rFonts w:eastAsiaTheme="minorEastAsia"/>
        </w:rPr>
        <w:t>。</w:t>
      </w:r>
    </w:p>
    <w:p w14:paraId="5DE4C0E9">
      <w:pPr>
        <w:spacing w:before="156" w:beforeLines="50" w:after="156" w:afterLines="50" w:line="240" w:lineRule="auto"/>
        <w:ind w:firstLine="0"/>
        <w:outlineLvl w:val="1"/>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3</w:t>
      </w:r>
      <w:r>
        <w:rPr>
          <w:rFonts w:ascii="黑体" w:hAnsi="黑体" w:eastAsia="黑体"/>
          <w:bCs/>
          <w:color w:val="000000" w:themeColor="text1"/>
          <w:szCs w:val="21"/>
          <w14:textFill>
            <w14:solidFill>
              <w14:schemeClr w14:val="tx1"/>
            </w14:solidFill>
          </w14:textFill>
        </w:rPr>
        <w:t>.</w:t>
      </w:r>
      <w:r>
        <w:rPr>
          <w:rFonts w:hint="eastAsia" w:ascii="黑体" w:hAnsi="黑体" w:eastAsia="黑体"/>
          <w:bCs/>
          <w:color w:val="000000" w:themeColor="text1"/>
          <w:szCs w:val="21"/>
          <w14:textFill>
            <w14:solidFill>
              <w14:schemeClr w14:val="tx1"/>
            </w14:solidFill>
          </w14:textFill>
        </w:rPr>
        <w:t>5</w:t>
      </w:r>
    </w:p>
    <w:p w14:paraId="2BC98875">
      <w:pPr>
        <w:spacing w:before="156" w:beforeLines="50" w:after="156" w:afterLines="50" w:line="240" w:lineRule="auto"/>
        <w:ind w:firstLine="0"/>
        <w:outlineLvl w:val="1"/>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秸秆促腐菌剂</w:t>
      </w:r>
      <w:r>
        <w:rPr>
          <w:rFonts w:ascii="黑体" w:hAnsi="黑体" w:eastAsia="黑体"/>
          <w:bCs/>
          <w:color w:val="000000" w:themeColor="text1"/>
          <w:szCs w:val="21"/>
          <w14:textFill>
            <w14:solidFill>
              <w14:schemeClr w14:val="tx1"/>
            </w14:solidFill>
          </w14:textFill>
        </w:rPr>
        <w:t xml:space="preserve"> </w:t>
      </w:r>
      <w:r>
        <w:rPr>
          <w:rFonts w:hint="eastAsia" w:ascii="黑体" w:hAnsi="黑体" w:eastAsia="黑体"/>
          <w:bCs/>
          <w:color w:val="000000" w:themeColor="text1"/>
          <w:szCs w:val="21"/>
          <w14:textFill>
            <w14:solidFill>
              <w14:schemeClr w14:val="tx1"/>
            </w14:solidFill>
          </w14:textFill>
        </w:rPr>
        <w:t>s</w:t>
      </w:r>
      <w:r>
        <w:rPr>
          <w:rFonts w:ascii="黑体" w:hAnsi="黑体" w:eastAsia="黑体"/>
          <w:bCs/>
          <w:color w:val="000000" w:themeColor="text1"/>
          <w:szCs w:val="21"/>
          <w14:textFill>
            <w14:solidFill>
              <w14:schemeClr w14:val="tx1"/>
            </w14:solidFill>
          </w14:textFill>
        </w:rPr>
        <w:t xml:space="preserve">traw </w:t>
      </w:r>
      <w:r>
        <w:rPr>
          <w:rFonts w:hint="eastAsia" w:ascii="黑体" w:hAnsi="黑体" w:eastAsia="黑体"/>
          <w:bCs/>
          <w:color w:val="000000" w:themeColor="text1"/>
          <w:szCs w:val="21"/>
          <w14:textFill>
            <w14:solidFill>
              <w14:schemeClr w14:val="tx1"/>
            </w14:solidFill>
          </w14:textFill>
        </w:rPr>
        <w:t>d</w:t>
      </w:r>
      <w:r>
        <w:rPr>
          <w:rFonts w:ascii="黑体" w:hAnsi="黑体" w:eastAsia="黑体"/>
          <w:bCs/>
          <w:color w:val="000000" w:themeColor="text1"/>
          <w:szCs w:val="21"/>
          <w14:textFill>
            <w14:solidFill>
              <w14:schemeClr w14:val="tx1"/>
            </w14:solidFill>
          </w14:textFill>
        </w:rPr>
        <w:t xml:space="preserve">ecomposition </w:t>
      </w:r>
      <w:r>
        <w:rPr>
          <w:rFonts w:hint="eastAsia" w:ascii="黑体" w:hAnsi="黑体" w:eastAsia="黑体"/>
          <w:bCs/>
          <w:color w:val="000000" w:themeColor="text1"/>
          <w:szCs w:val="21"/>
          <w14:textFill>
            <w14:solidFill>
              <w14:schemeClr w14:val="tx1"/>
            </w14:solidFill>
          </w14:textFill>
        </w:rPr>
        <w:t>m</w:t>
      </w:r>
      <w:r>
        <w:rPr>
          <w:rFonts w:ascii="黑体" w:hAnsi="黑体" w:eastAsia="黑体"/>
          <w:bCs/>
          <w:color w:val="000000" w:themeColor="text1"/>
          <w:szCs w:val="21"/>
          <w14:textFill>
            <w14:solidFill>
              <w14:schemeClr w14:val="tx1"/>
            </w14:solidFill>
          </w14:textFill>
        </w:rPr>
        <w:t xml:space="preserve">icrobial </w:t>
      </w:r>
      <w:r>
        <w:rPr>
          <w:rFonts w:hint="eastAsia" w:ascii="黑体" w:hAnsi="黑体" w:eastAsia="黑体"/>
          <w:bCs/>
          <w:color w:val="000000" w:themeColor="text1"/>
          <w:szCs w:val="21"/>
          <w14:textFill>
            <w14:solidFill>
              <w14:schemeClr w14:val="tx1"/>
            </w14:solidFill>
          </w14:textFill>
        </w:rPr>
        <w:t>i</w:t>
      </w:r>
      <w:r>
        <w:rPr>
          <w:rFonts w:ascii="黑体" w:hAnsi="黑体" w:eastAsia="黑体"/>
          <w:bCs/>
          <w:color w:val="000000" w:themeColor="text1"/>
          <w:szCs w:val="21"/>
          <w14:textFill>
            <w14:solidFill>
              <w14:schemeClr w14:val="tx1"/>
            </w14:solidFill>
          </w14:textFill>
        </w:rPr>
        <w:t>noculan</w:t>
      </w:r>
      <w:bookmarkStart w:id="51" w:name="_GoBack"/>
      <w:bookmarkEnd w:id="51"/>
      <w:r>
        <w:rPr>
          <w:rFonts w:ascii="黑体" w:hAnsi="黑体" w:eastAsia="黑体"/>
          <w:bCs/>
          <w:color w:val="000000" w:themeColor="text1"/>
          <w:szCs w:val="21"/>
          <w14:textFill>
            <w14:solidFill>
              <w14:schemeClr w14:val="tx1"/>
            </w14:solidFill>
          </w14:textFill>
        </w:rPr>
        <w:t>t</w:t>
      </w:r>
    </w:p>
    <w:p w14:paraId="070BBF0E">
      <w:pPr>
        <w:autoSpaceDE w:val="0"/>
        <w:autoSpaceDN w:val="0"/>
        <w:adjustRightInd w:val="0"/>
        <w:spacing w:line="276" w:lineRule="auto"/>
        <w:ind w:firstLineChars="200"/>
        <w:jc w:val="left"/>
        <w:rPr>
          <w:rFonts w:eastAsiaTheme="minorEastAsia"/>
          <w:color w:val="000000" w:themeColor="text1"/>
          <w14:textFill>
            <w14:solidFill>
              <w14:schemeClr w14:val="tx1"/>
            </w14:solidFill>
          </w14:textFill>
        </w:rPr>
      </w:pPr>
      <w:bookmarkStart w:id="26" w:name="OLE_LINK8"/>
      <w:r>
        <w:rPr>
          <w:rFonts w:hint="eastAsia" w:eastAsiaTheme="minorEastAsia"/>
          <w:color w:val="000000" w:themeColor="text1"/>
          <w14:textFill>
            <w14:solidFill>
              <w14:schemeClr w14:val="tx1"/>
            </w14:solidFill>
          </w14:textFill>
        </w:rPr>
        <w:t>能够加速秸秆分解、腐熟，并达到无害化要求的特制微生物菌剂。</w:t>
      </w:r>
      <w:bookmarkEnd w:id="26"/>
    </w:p>
    <w:bookmarkEnd w:id="16"/>
    <w:p w14:paraId="471A3773">
      <w:pPr>
        <w:spacing w:before="240" w:after="240" w:line="276" w:lineRule="auto"/>
        <w:ind w:firstLine="0"/>
        <w:jc w:val="left"/>
        <w:outlineLvl w:val="0"/>
        <w:rPr>
          <w:rFonts w:ascii="黑体" w:hAnsi="黑体" w:eastAsia="黑体"/>
          <w:color w:val="0D0D0D" w:themeColor="text1" w:themeTint="F2"/>
          <w:szCs w:val="21"/>
          <w14:textFill>
            <w14:solidFill>
              <w14:schemeClr w14:val="tx1">
                <w14:lumMod w14:val="95000"/>
                <w14:lumOff w14:val="5000"/>
              </w14:schemeClr>
            </w14:solidFill>
          </w14:textFill>
        </w:rPr>
      </w:pPr>
      <w:r>
        <w:rPr>
          <w:rFonts w:ascii="黑体" w:hAnsi="黑体" w:eastAsia="黑体"/>
          <w:color w:val="0D0D0D" w:themeColor="text1" w:themeTint="F2"/>
          <w:szCs w:val="21"/>
          <w14:textFill>
            <w14:solidFill>
              <w14:schemeClr w14:val="tx1">
                <w14:lumMod w14:val="95000"/>
                <w14:lumOff w14:val="5000"/>
              </w14:schemeClr>
            </w14:solidFill>
          </w14:textFill>
        </w:rPr>
        <w:t xml:space="preserve">4 </w:t>
      </w:r>
      <w:r>
        <w:rPr>
          <w:rFonts w:hint="eastAsia" w:ascii="黑体" w:hAnsi="黑体" w:eastAsia="黑体"/>
          <w:color w:val="0D0D0D" w:themeColor="text1" w:themeTint="F2"/>
          <w:szCs w:val="21"/>
          <w14:textFill>
            <w14:solidFill>
              <w14:schemeClr w14:val="tx1">
                <w14:lumMod w14:val="95000"/>
                <w14:lumOff w14:val="5000"/>
              </w14:schemeClr>
            </w14:solidFill>
          </w14:textFill>
        </w:rPr>
        <w:t>基本原则</w:t>
      </w:r>
    </w:p>
    <w:p w14:paraId="53CE14D0">
      <w:pPr>
        <w:spacing w:before="156" w:beforeLines="50" w:after="156" w:afterLines="50" w:line="240" w:lineRule="auto"/>
        <w:ind w:firstLine="0"/>
        <w:outlineLvl w:val="1"/>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 xml:space="preserve">4.1 </w:t>
      </w:r>
      <w:r>
        <w:rPr>
          <w:rFonts w:hint="eastAsia" w:ascii="黑体" w:hAnsi="黑体" w:eastAsia="黑体"/>
          <w:bCs/>
          <w:color w:val="000000" w:themeColor="text1"/>
          <w:szCs w:val="21"/>
          <w14:textFill>
            <w14:solidFill>
              <w14:schemeClr w14:val="tx1"/>
            </w14:solidFill>
          </w14:textFill>
        </w:rPr>
        <w:t>因地制宜</w:t>
      </w:r>
    </w:p>
    <w:p w14:paraId="240147D4">
      <w:pPr>
        <w:rPr>
          <w:rFonts w:eastAsiaTheme="minorEastAsia"/>
        </w:rPr>
      </w:pPr>
      <w:bookmarkStart w:id="27" w:name="_Hlk170327719"/>
      <w:r>
        <w:rPr>
          <w:rFonts w:hint="eastAsia" w:eastAsiaTheme="minorEastAsia"/>
        </w:rPr>
        <w:t>根据种植区生产现状，资源条件和灌排单元布局等选择经济适用的节水灌溉模式、肥料类型，确定适宜的施肥量、施肥深度和施肥次数。</w:t>
      </w:r>
      <w:bookmarkEnd w:id="27"/>
    </w:p>
    <w:p w14:paraId="602D68CE">
      <w:pPr>
        <w:ind w:firstLine="0"/>
        <w:rPr>
          <w:rFonts w:ascii="黑体" w:hAnsi="黑体" w:eastAsia="黑体"/>
          <w:bCs/>
          <w:color w:val="0D0D0D" w:themeColor="text1" w:themeTint="F2"/>
          <w:szCs w:val="21"/>
          <w14:textFill>
            <w14:solidFill>
              <w14:schemeClr w14:val="tx1">
                <w14:lumMod w14:val="95000"/>
                <w14:lumOff w14:val="5000"/>
              </w14:schemeClr>
            </w14:solidFill>
          </w14:textFill>
        </w:rPr>
      </w:pPr>
      <w:r>
        <w:rPr>
          <w:rFonts w:ascii="黑体" w:hAnsi="黑体" w:eastAsia="黑体"/>
          <w:bCs/>
          <w:color w:val="0D0D0D" w:themeColor="text1" w:themeTint="F2"/>
          <w:szCs w:val="21"/>
          <w14:textFill>
            <w14:solidFill>
              <w14:schemeClr w14:val="tx1">
                <w14:lumMod w14:val="95000"/>
                <w14:lumOff w14:val="5000"/>
              </w14:schemeClr>
            </w14:solidFill>
          </w14:textFill>
        </w:rPr>
        <w:t xml:space="preserve">4.2 </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协同调控</w:t>
      </w:r>
    </w:p>
    <w:p w14:paraId="491A8A0A">
      <w:pPr>
        <w:rPr>
          <w:rFonts w:eastAsiaTheme="minorEastAsia"/>
        </w:rPr>
      </w:pPr>
      <w:bookmarkStart w:id="28" w:name="_Hlk170329146"/>
      <w:r>
        <w:rPr>
          <w:rFonts w:hint="eastAsia" w:eastAsiaTheme="minorEastAsia"/>
        </w:rPr>
        <w:t>依据土壤地力、作物需肥特征、目标产量和生态环境等因素优化肥料用量、运筹模式和施用方式，采用秸秆、绿肥等有机物料还田措施，增加土壤有机养分供给，替代部分化肥施用；结合周年水分管理，协同实现作物稳产、土壤保育和碳氮减排。</w:t>
      </w:r>
      <w:bookmarkEnd w:id="28"/>
    </w:p>
    <w:p w14:paraId="1A2E8E5B">
      <w:pPr>
        <w:ind w:firstLine="0"/>
        <w:rPr>
          <w:rFonts w:ascii="黑体" w:hAnsi="黑体" w:eastAsia="黑体"/>
          <w:bCs/>
          <w:color w:val="0D0D0D" w:themeColor="text1" w:themeTint="F2"/>
          <w:szCs w:val="21"/>
          <w14:textFill>
            <w14:solidFill>
              <w14:schemeClr w14:val="tx1">
                <w14:lumMod w14:val="95000"/>
                <w14:lumOff w14:val="5000"/>
              </w14:schemeClr>
            </w14:solidFill>
          </w14:textFill>
        </w:rPr>
      </w:pPr>
      <w:r>
        <w:rPr>
          <w:rFonts w:ascii="黑体" w:hAnsi="黑体" w:eastAsia="黑体"/>
          <w:bCs/>
          <w:color w:val="0D0D0D" w:themeColor="text1" w:themeTint="F2"/>
          <w:szCs w:val="21"/>
          <w14:textFill>
            <w14:solidFill>
              <w14:schemeClr w14:val="tx1">
                <w14:lumMod w14:val="95000"/>
                <w14:lumOff w14:val="5000"/>
              </w14:schemeClr>
            </w14:solidFill>
          </w14:textFill>
        </w:rPr>
        <w:t>4.</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3</w:t>
      </w:r>
      <w:r>
        <w:rPr>
          <w:rFonts w:ascii="黑体" w:hAnsi="黑体" w:eastAsia="黑体"/>
          <w:bCs/>
          <w:color w:val="0D0D0D" w:themeColor="text1" w:themeTint="F2"/>
          <w:szCs w:val="21"/>
          <w14:textFill>
            <w14:solidFill>
              <w14:schemeClr w14:val="tx1">
                <w14:lumMod w14:val="95000"/>
                <w14:lumOff w14:val="5000"/>
              </w14:schemeClr>
            </w14:solidFill>
          </w14:textFill>
        </w:rPr>
        <w:t xml:space="preserve"> </w:t>
      </w:r>
      <w:bookmarkStart w:id="29" w:name="_Hlk170330189"/>
      <w:r>
        <w:rPr>
          <w:rFonts w:hint="eastAsia" w:ascii="黑体" w:hAnsi="黑体" w:eastAsia="黑体"/>
          <w:bCs/>
          <w:color w:val="0D0D0D" w:themeColor="text1" w:themeTint="F2"/>
          <w:szCs w:val="21"/>
          <w14:textFill>
            <w14:solidFill>
              <w14:schemeClr w14:val="tx1">
                <w14:lumMod w14:val="95000"/>
                <w14:lumOff w14:val="5000"/>
              </w14:schemeClr>
            </w14:solidFill>
          </w14:textFill>
        </w:rPr>
        <w:t>重点管控</w:t>
      </w:r>
      <w:bookmarkEnd w:id="29"/>
    </w:p>
    <w:p w14:paraId="0718020B">
      <w:pPr>
        <w:rPr>
          <w:rFonts w:eastAsiaTheme="minorEastAsia"/>
        </w:rPr>
      </w:pPr>
      <w:bookmarkStart w:id="30" w:name="_Hlk170376733"/>
      <w:r>
        <w:rPr>
          <w:rFonts w:hint="eastAsia" w:eastAsiaTheme="minorEastAsia"/>
        </w:rPr>
        <w:t>针对稻田碳氮排放风险期，实施水肥精准管理等农艺措施，提高碳氮减排量与减排效率。</w:t>
      </w:r>
      <w:bookmarkEnd w:id="30"/>
    </w:p>
    <w:p w14:paraId="3F131053">
      <w:pPr>
        <w:spacing w:before="240" w:after="240" w:line="276" w:lineRule="auto"/>
        <w:ind w:firstLine="0"/>
        <w:jc w:val="left"/>
        <w:outlineLvl w:val="0"/>
        <w:rPr>
          <w:rFonts w:ascii="黑体" w:hAnsi="黑体" w:eastAsia="黑体"/>
          <w:color w:val="0D0D0D" w:themeColor="text1" w:themeTint="F2"/>
          <w:szCs w:val="21"/>
          <w14:textFill>
            <w14:solidFill>
              <w14:schemeClr w14:val="tx1">
                <w14:lumMod w14:val="95000"/>
                <w14:lumOff w14:val="5000"/>
              </w14:schemeClr>
            </w14:solidFill>
          </w14:textFill>
        </w:rPr>
      </w:pPr>
      <w:r>
        <w:rPr>
          <w:rFonts w:ascii="黑体" w:hAnsi="黑体" w:eastAsia="黑体"/>
          <w:color w:val="0D0D0D" w:themeColor="text1" w:themeTint="F2"/>
          <w:szCs w:val="21"/>
          <w14:textFill>
            <w14:solidFill>
              <w14:schemeClr w14:val="tx1">
                <w14:lumMod w14:val="95000"/>
                <w14:lumOff w14:val="5000"/>
              </w14:schemeClr>
            </w14:solidFill>
          </w14:textFill>
        </w:rPr>
        <w:t xml:space="preserve">5 </w:t>
      </w:r>
      <w:r>
        <w:rPr>
          <w:rFonts w:hint="eastAsia" w:ascii="黑体" w:hAnsi="黑体" w:eastAsia="黑体"/>
          <w:color w:val="0D0D0D" w:themeColor="text1" w:themeTint="F2"/>
          <w:szCs w:val="21"/>
          <w14:textFill>
            <w14:solidFill>
              <w14:schemeClr w14:val="tx1">
                <w14:lumMod w14:val="95000"/>
                <w14:lumOff w14:val="5000"/>
              </w14:schemeClr>
            </w14:solidFill>
          </w14:textFill>
        </w:rPr>
        <w:t>技术要求</w:t>
      </w:r>
    </w:p>
    <w:p w14:paraId="55B087F0">
      <w:pPr>
        <w:spacing w:before="156" w:beforeLines="50" w:after="156" w:afterLines="50" w:line="240" w:lineRule="auto"/>
        <w:ind w:firstLine="0"/>
        <w:outlineLvl w:val="1"/>
        <w:rPr>
          <w:rFonts w:ascii="黑体" w:hAnsi="黑体" w:eastAsia="黑体"/>
          <w:bCs/>
          <w:color w:val="0D0D0D" w:themeColor="text1" w:themeTint="F2"/>
          <w:szCs w:val="21"/>
          <w14:textFill>
            <w14:solidFill>
              <w14:schemeClr w14:val="tx1">
                <w14:lumMod w14:val="95000"/>
                <w14:lumOff w14:val="5000"/>
              </w14:schemeClr>
            </w14:solidFill>
          </w14:textFill>
        </w:rPr>
      </w:pPr>
      <w:r>
        <w:rPr>
          <w:rFonts w:ascii="黑体" w:hAnsi="黑体" w:eastAsia="黑体"/>
          <w:bCs/>
          <w:color w:val="0D0D0D" w:themeColor="text1" w:themeTint="F2"/>
          <w:szCs w:val="21"/>
          <w14:textFill>
            <w14:solidFill>
              <w14:schemeClr w14:val="tx1">
                <w14:lumMod w14:val="95000"/>
                <w14:lumOff w14:val="5000"/>
              </w14:schemeClr>
            </w14:solidFill>
          </w14:textFill>
        </w:rPr>
        <w:t>5.1</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农田基础设施和整地要求</w:t>
      </w:r>
    </w:p>
    <w:p w14:paraId="5A9AEE7D">
      <w:pPr>
        <w:spacing w:line="276" w:lineRule="auto"/>
        <w:ind w:firstLine="0"/>
      </w:pPr>
      <w:r>
        <w:rPr>
          <w:rFonts w:ascii="黑体" w:hAnsi="黑体" w:eastAsia="黑体"/>
          <w:bCs/>
          <w:color w:val="0D0D0D" w:themeColor="text1" w:themeTint="F2"/>
          <w:szCs w:val="21"/>
          <w14:textFill>
            <w14:solidFill>
              <w14:schemeClr w14:val="tx1">
                <w14:lumMod w14:val="95000"/>
                <w14:lumOff w14:val="5000"/>
              </w14:schemeClr>
            </w14:solidFill>
          </w14:textFill>
        </w:rPr>
        <w:t>5</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w:t>
      </w:r>
      <w:r>
        <w:rPr>
          <w:rFonts w:ascii="黑体" w:hAnsi="黑体" w:eastAsia="黑体"/>
          <w:bCs/>
          <w:color w:val="0D0D0D" w:themeColor="text1" w:themeTint="F2"/>
          <w:szCs w:val="21"/>
          <w14:textFill>
            <w14:solidFill>
              <w14:schemeClr w14:val="tx1">
                <w14:lumMod w14:val="95000"/>
                <w14:lumOff w14:val="5000"/>
              </w14:schemeClr>
            </w14:solidFill>
          </w14:textFill>
        </w:rPr>
        <w:t>1.1</w:t>
      </w:r>
      <w:r>
        <w:rPr>
          <w:rFonts w:hint="eastAsia"/>
        </w:rPr>
        <w:t>稻田集中连片，田面平整，</w:t>
      </w:r>
      <w:r>
        <w:rPr>
          <w:rFonts w:hint="eastAsia" w:eastAsiaTheme="minorEastAsia"/>
          <w:szCs w:val="21"/>
        </w:rPr>
        <w:t>田埂高度≥ 20 cm，田埂顶宽≥ 50 cm，</w:t>
      </w:r>
      <w:r>
        <w:rPr>
          <w:rFonts w:hint="eastAsia"/>
        </w:rPr>
        <w:t>具备独立的灌溉与排水系统，配备生态沟塘等。基础设施宜符合GB/T 30600的要求，定期清理淤积、保持闸门灵活。</w:t>
      </w:r>
    </w:p>
    <w:p w14:paraId="16CD4C29">
      <w:pPr>
        <w:spacing w:line="276" w:lineRule="auto"/>
        <w:ind w:firstLine="0"/>
        <w:rPr>
          <w:rFonts w:eastAsiaTheme="minorEastAsia"/>
          <w:szCs w:val="21"/>
        </w:rPr>
      </w:pPr>
      <w:r>
        <w:rPr>
          <w:rFonts w:ascii="黑体" w:hAnsi="黑体" w:eastAsia="黑体"/>
          <w:bCs/>
          <w:color w:val="0D0D0D" w:themeColor="text1" w:themeTint="F2"/>
          <w:szCs w:val="21"/>
          <w14:textFill>
            <w14:solidFill>
              <w14:schemeClr w14:val="tx1">
                <w14:lumMod w14:val="95000"/>
                <w14:lumOff w14:val="5000"/>
              </w14:schemeClr>
            </w14:solidFill>
          </w14:textFill>
        </w:rPr>
        <w:t>5.1.2</w:t>
      </w:r>
      <w:r>
        <w:rPr>
          <w:rFonts w:hint="eastAsia" w:eastAsiaTheme="minorEastAsia"/>
          <w:szCs w:val="21"/>
        </w:rPr>
        <w:t>移栽稻田，水稻移栽前，浅水泡田3 d～5 d后整地耙平，泡田水深度10 mm～30 mm，整地耕作深度10 cm～15 cm，田面高差≤3 cm，无秸秆漂浮，沉实</w:t>
      </w:r>
      <w:r>
        <w:rPr>
          <w:rFonts w:hint="eastAsia" w:eastAsiaTheme="minorEastAsia"/>
          <w:szCs w:val="21"/>
          <w:lang w:eastAsia="zh-CN"/>
        </w:rPr>
        <w:t>1～2天</w:t>
      </w:r>
      <w:r>
        <w:rPr>
          <w:rFonts w:hint="eastAsia" w:eastAsiaTheme="minorEastAsia"/>
          <w:szCs w:val="21"/>
        </w:rPr>
        <w:t>后移栽或播种。</w:t>
      </w:r>
    </w:p>
    <w:p w14:paraId="77ADA95B">
      <w:pPr>
        <w:spacing w:line="276" w:lineRule="auto"/>
        <w:ind w:firstLine="0"/>
        <w:rPr>
          <w:rFonts w:eastAsiaTheme="minorEastAsia"/>
          <w:szCs w:val="21"/>
        </w:rPr>
      </w:pPr>
      <w:r>
        <w:rPr>
          <w:rFonts w:ascii="黑体" w:hAnsi="黑体" w:eastAsia="黑体"/>
          <w:bCs/>
          <w:color w:val="0D0D0D" w:themeColor="text1" w:themeTint="F2"/>
          <w:szCs w:val="21"/>
          <w14:textFill>
            <w14:solidFill>
              <w14:schemeClr w14:val="tx1">
                <w14:lumMod w14:val="95000"/>
                <w14:lumOff w14:val="5000"/>
              </w14:schemeClr>
            </w14:solidFill>
          </w14:textFill>
        </w:rPr>
        <w:t>5.1.3</w:t>
      </w:r>
      <w:r>
        <w:rPr>
          <w:rFonts w:hint="eastAsia" w:eastAsiaTheme="minorEastAsia"/>
          <w:szCs w:val="21"/>
        </w:rPr>
        <w:t>湿直播稻田，播种前，浅水泡田3～5 d后整地耙平，泡田水深度10 mm～30 mm，整地耕作深度10 cm～15 cm，田面高差≤3 cm，无秸秆漂浮，播种前开好横沟、竖沟和围沟。</w:t>
      </w:r>
    </w:p>
    <w:p w14:paraId="5C470929">
      <w:pPr>
        <w:spacing w:line="276" w:lineRule="auto"/>
        <w:ind w:firstLine="0"/>
        <w:rPr>
          <w:rFonts w:eastAsiaTheme="minorEastAsia"/>
          <w:szCs w:val="21"/>
        </w:rPr>
      </w:pPr>
      <w:r>
        <w:rPr>
          <w:rFonts w:hint="eastAsia" w:ascii="黑体" w:hAnsi="黑体" w:eastAsia="黑体"/>
          <w:bCs/>
          <w:color w:val="0D0D0D" w:themeColor="text1" w:themeTint="F2"/>
          <w:szCs w:val="21"/>
          <w14:textFill>
            <w14:solidFill>
              <w14:schemeClr w14:val="tx1">
                <w14:lumMod w14:val="95000"/>
                <w14:lumOff w14:val="5000"/>
              </w14:schemeClr>
            </w14:solidFill>
          </w14:textFill>
        </w:rPr>
        <w:t>5.1.4</w:t>
      </w:r>
      <w:r>
        <w:rPr>
          <w:rFonts w:hint="eastAsia" w:eastAsiaTheme="minorEastAsia"/>
          <w:szCs w:val="21"/>
        </w:rPr>
        <w:t>旱直播稻田，播种前旱耕旱整，整地耕作深度10 cm～15 cm，田面高差≤3 cm，合理开沟作畦。</w:t>
      </w:r>
    </w:p>
    <w:p w14:paraId="5966200F">
      <w:pPr>
        <w:spacing w:before="156" w:beforeLines="50" w:after="156" w:afterLines="50" w:line="240" w:lineRule="auto"/>
        <w:ind w:firstLine="0"/>
        <w:outlineLvl w:val="1"/>
        <w:rPr>
          <w:rFonts w:ascii="黑体" w:hAnsi="黑体" w:eastAsia="黑体"/>
          <w:color w:val="0D0D0D" w:themeColor="text1" w:themeTint="F2"/>
          <w:szCs w:val="21"/>
          <w14:textFill>
            <w14:solidFill>
              <w14:schemeClr w14:val="tx1">
                <w14:lumMod w14:val="95000"/>
                <w14:lumOff w14:val="5000"/>
              </w14:schemeClr>
            </w14:solidFill>
          </w14:textFill>
        </w:rPr>
      </w:pPr>
      <w:r>
        <w:rPr>
          <w:rFonts w:ascii="黑体" w:hAnsi="黑体" w:eastAsia="黑体"/>
          <w:bCs/>
          <w:color w:val="0D0D0D" w:themeColor="text1" w:themeTint="F2"/>
          <w:szCs w:val="21"/>
          <w14:textFill>
            <w14:solidFill>
              <w14:schemeClr w14:val="tx1">
                <w14:lumMod w14:val="95000"/>
                <w14:lumOff w14:val="5000"/>
              </w14:schemeClr>
            </w14:solidFill>
          </w14:textFill>
        </w:rPr>
        <w:t>5.</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2</w:t>
      </w:r>
      <w:r>
        <w:rPr>
          <w:rFonts w:hint="eastAsia" w:ascii="黑体" w:hAnsi="黑体" w:eastAsia="黑体"/>
          <w:color w:val="0D0D0D" w:themeColor="text1" w:themeTint="F2"/>
          <w:szCs w:val="21"/>
          <w14:textFill>
            <w14:solidFill>
              <w14:schemeClr w14:val="tx1">
                <w14:lumMod w14:val="95000"/>
                <w14:lumOff w14:val="5000"/>
              </w14:schemeClr>
            </w14:solidFill>
          </w14:textFill>
        </w:rPr>
        <w:t>土壤保育技术</w:t>
      </w:r>
    </w:p>
    <w:p w14:paraId="5DEA8693">
      <w:pPr>
        <w:spacing w:line="276" w:lineRule="auto"/>
        <w:ind w:firstLine="0"/>
        <w:rPr>
          <w:rFonts w:eastAsiaTheme="minorEastAsia"/>
          <w:szCs w:val="21"/>
        </w:rPr>
      </w:pPr>
      <w:r>
        <w:rPr>
          <w:rFonts w:ascii="黑体" w:hAnsi="黑体" w:eastAsia="黑体"/>
          <w:bCs/>
          <w:color w:val="0D0D0D" w:themeColor="text1" w:themeTint="F2"/>
          <w:szCs w:val="21"/>
          <w14:textFill>
            <w14:solidFill>
              <w14:schemeClr w14:val="tx1">
                <w14:lumMod w14:val="95000"/>
                <w14:lumOff w14:val="5000"/>
              </w14:schemeClr>
            </w14:solidFill>
          </w14:textFill>
        </w:rPr>
        <w:t>5</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.2</w:t>
      </w:r>
      <w:r>
        <w:rPr>
          <w:rFonts w:ascii="黑体" w:hAnsi="黑体" w:eastAsia="黑体"/>
          <w:bCs/>
          <w:color w:val="0D0D0D" w:themeColor="text1" w:themeTint="F2"/>
          <w:szCs w:val="21"/>
          <w14:textFill>
            <w14:solidFill>
              <w14:schemeClr w14:val="tx1">
                <w14:lumMod w14:val="95000"/>
                <w14:lumOff w14:val="5000"/>
              </w14:schemeClr>
            </w14:solidFill>
          </w14:textFill>
        </w:rPr>
        <w:t>.1</w:t>
      </w:r>
      <w:r>
        <w:rPr>
          <w:rFonts w:hint="eastAsia"/>
        </w:rPr>
        <w:t>宜于</w:t>
      </w:r>
      <w:r>
        <w:rPr>
          <w:rFonts w:hint="eastAsia" w:eastAsiaTheme="minorEastAsia"/>
        </w:rPr>
        <w:t>晚稻收获</w:t>
      </w:r>
      <w:r>
        <w:rPr>
          <w:rFonts w:hint="eastAsia"/>
        </w:rPr>
        <w:t>前7 d</w:t>
      </w:r>
      <w:r>
        <w:t>～</w:t>
      </w:r>
      <w:r>
        <w:rPr>
          <w:rFonts w:hint="eastAsia"/>
        </w:rPr>
        <w:t>15 d套播绿肥</w:t>
      </w:r>
      <w:r>
        <w:rPr>
          <w:rFonts w:hint="eastAsia" w:eastAsiaTheme="minorEastAsia"/>
        </w:rPr>
        <w:t>，优选豆科绿肥，种类见附录A</w:t>
      </w:r>
      <w:r>
        <w:rPr>
          <w:rFonts w:eastAsiaTheme="minorEastAsia"/>
        </w:rPr>
        <w:t>；</w:t>
      </w:r>
      <w:r>
        <w:rPr>
          <w:rFonts w:hint="eastAsia" w:eastAsiaTheme="minorEastAsia"/>
        </w:rPr>
        <w:t>早稻移栽前10</w:t>
      </w:r>
      <w:r>
        <w:rPr>
          <w:rFonts w:hint="eastAsia" w:eastAsiaTheme="minorEastAsia"/>
          <w:szCs w:val="21"/>
        </w:rPr>
        <w:t xml:space="preserve"> d～15 d，宜将绿肥、晚稻秸秆与早稻基肥联合翻压还田，</w:t>
      </w:r>
      <w:r>
        <w:rPr>
          <w:rFonts w:hint="eastAsia" w:eastAsiaTheme="minorEastAsia"/>
        </w:rPr>
        <w:t>每吨豆科绿肥鲜草可替代1 kg～2 kg早稻氮肥（以N计）；冬闲季绿肥其他管理措施应符合N</w:t>
      </w:r>
      <w:r>
        <w:rPr>
          <w:rFonts w:eastAsiaTheme="minorEastAsia"/>
        </w:rPr>
        <w:t>Y/T</w:t>
      </w:r>
      <w:r>
        <w:rPr>
          <w:rFonts w:hint="eastAsia" w:eastAsiaTheme="minorEastAsia"/>
        </w:rPr>
        <w:t xml:space="preserve"> </w:t>
      </w:r>
      <w:r>
        <w:rPr>
          <w:rFonts w:eastAsiaTheme="minorEastAsia"/>
        </w:rPr>
        <w:t>3840</w:t>
      </w:r>
      <w:r>
        <w:rPr>
          <w:rFonts w:hint="eastAsia" w:eastAsiaTheme="minorEastAsia"/>
        </w:rPr>
        <w:t>的规定。</w:t>
      </w:r>
    </w:p>
    <w:p w14:paraId="3DE8CC78">
      <w:pPr>
        <w:spacing w:line="276" w:lineRule="auto"/>
        <w:ind w:firstLine="0"/>
        <w:rPr>
          <w:rFonts w:eastAsiaTheme="minorEastAsia"/>
          <w:szCs w:val="21"/>
        </w:rPr>
      </w:pPr>
      <w:r>
        <w:rPr>
          <w:rFonts w:ascii="黑体" w:hAnsi="黑体" w:eastAsia="黑体"/>
          <w:bCs/>
          <w:color w:val="0D0D0D" w:themeColor="text1" w:themeTint="F2"/>
          <w:szCs w:val="21"/>
          <w14:textFill>
            <w14:solidFill>
              <w14:schemeClr w14:val="tx1">
                <w14:lumMod w14:val="95000"/>
                <w14:lumOff w14:val="5000"/>
              </w14:schemeClr>
            </w14:solidFill>
          </w14:textFill>
        </w:rPr>
        <w:t>5</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.2</w:t>
      </w:r>
      <w:r>
        <w:rPr>
          <w:rFonts w:ascii="黑体" w:hAnsi="黑体" w:eastAsia="黑体"/>
          <w:bCs/>
          <w:color w:val="0D0D0D" w:themeColor="text1" w:themeTint="F2"/>
          <w:szCs w:val="21"/>
          <w14:textFill>
            <w14:solidFill>
              <w14:schemeClr w14:val="tx1">
                <w14:lumMod w14:val="95000"/>
                <w14:lumOff w14:val="5000"/>
              </w14:schemeClr>
            </w14:solidFill>
          </w14:textFill>
        </w:rPr>
        <w:t>.</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2</w:t>
      </w:r>
      <w:r>
        <w:rPr>
          <w:rFonts w:hint="eastAsia" w:eastAsiaTheme="minorEastAsia"/>
          <w:szCs w:val="21"/>
        </w:rPr>
        <w:t>早稻秸秆</w:t>
      </w:r>
      <w:r>
        <w:rPr>
          <w:rFonts w:eastAsiaTheme="minorEastAsia"/>
          <w:szCs w:val="21"/>
        </w:rPr>
        <w:t>留茬高度</w:t>
      </w:r>
      <w:bookmarkStart w:id="31" w:name="OLE_LINK159"/>
      <w:bookmarkStart w:id="32" w:name="OLE_LINK160"/>
      <w:r>
        <w:rPr>
          <w:rFonts w:hint="eastAsia" w:eastAsiaTheme="minorEastAsia"/>
          <w:szCs w:val="21"/>
        </w:rPr>
        <w:t>≤</w:t>
      </w:r>
      <w:bookmarkEnd w:id="31"/>
      <w:bookmarkEnd w:id="32"/>
      <w:r>
        <w:rPr>
          <w:rFonts w:eastAsiaTheme="minorEastAsia"/>
          <w:szCs w:val="21"/>
        </w:rPr>
        <w:t>15 cm</w:t>
      </w:r>
      <w:r>
        <w:rPr>
          <w:rFonts w:hint="eastAsia" w:eastAsiaTheme="minorEastAsia"/>
          <w:szCs w:val="21"/>
        </w:rPr>
        <w:t>，晚稻秸秆</w:t>
      </w:r>
      <w:r>
        <w:rPr>
          <w:rFonts w:eastAsiaTheme="minorEastAsia"/>
          <w:szCs w:val="21"/>
        </w:rPr>
        <w:t>留茬高度</w:t>
      </w:r>
      <w:r>
        <w:rPr>
          <w:rFonts w:hint="eastAsia" w:eastAsiaTheme="minorEastAsia"/>
          <w:szCs w:val="21"/>
        </w:rPr>
        <w:t>宜在30 cm</w:t>
      </w:r>
      <w:r>
        <w:rPr>
          <w:rFonts w:eastAsiaTheme="minorEastAsia"/>
        </w:rPr>
        <w:t>～</w:t>
      </w:r>
      <w:r>
        <w:rPr>
          <w:rFonts w:hint="eastAsia" w:eastAsiaTheme="minorEastAsia"/>
          <w:szCs w:val="21"/>
        </w:rPr>
        <w:t>40 cm，秸秆</w:t>
      </w:r>
      <w:r>
        <w:rPr>
          <w:rFonts w:eastAsiaTheme="minorEastAsia"/>
          <w:szCs w:val="21"/>
        </w:rPr>
        <w:t>粉碎长度小于10 cm，</w:t>
      </w:r>
      <w:r>
        <w:rPr>
          <w:rFonts w:hint="eastAsia" w:eastAsiaTheme="minorEastAsia"/>
          <w:szCs w:val="21"/>
        </w:rPr>
        <w:t>全部</w:t>
      </w:r>
      <w:r>
        <w:rPr>
          <w:rFonts w:eastAsiaTheme="minorEastAsia"/>
          <w:szCs w:val="21"/>
        </w:rPr>
        <w:t>均匀抛撒于田面</w:t>
      </w:r>
      <w:r>
        <w:rPr>
          <w:rFonts w:hint="eastAsia" w:eastAsiaTheme="minorEastAsia"/>
          <w:szCs w:val="21"/>
        </w:rPr>
        <w:t>；按照3 kg/</w:t>
      </w:r>
      <w:r>
        <w:rPr>
          <w:rFonts w:hint="eastAsia" w:eastAsiaTheme="minorEastAsia"/>
          <w:color w:val="000000"/>
          <w:kern w:val="0"/>
          <w:szCs w:val="21"/>
        </w:rPr>
        <w:t>亩</w:t>
      </w:r>
      <w:r>
        <w:rPr>
          <w:rFonts w:hint="eastAsia" w:eastAsiaTheme="minorEastAsia"/>
          <w:szCs w:val="21"/>
        </w:rPr>
        <w:t>～5 kg/</w:t>
      </w:r>
      <w:r>
        <w:rPr>
          <w:rFonts w:hint="eastAsia" w:eastAsiaTheme="minorEastAsia"/>
          <w:color w:val="000000"/>
          <w:kern w:val="0"/>
          <w:szCs w:val="21"/>
        </w:rPr>
        <w:t>亩</w:t>
      </w:r>
      <w:r>
        <w:rPr>
          <w:rFonts w:hint="eastAsia" w:eastAsiaTheme="minorEastAsia"/>
          <w:szCs w:val="21"/>
        </w:rPr>
        <w:t>的用量施用秸秆促腐菌剂；早稻季秸秆宜粉碎后立即旋耕还田，晚稻季秸秆宜与冬季绿肥一起翻压还田，直播稻田在水稻播种前 7 d～10 d，移栽稻田在水稻移栽前 10 d～15 d还田，翻压和旋耕埋茬深度15 cm</w:t>
      </w:r>
      <w:r>
        <w:rPr>
          <w:rFonts w:eastAsiaTheme="minorEastAsia"/>
        </w:rPr>
        <w:t>～</w:t>
      </w:r>
      <w:r>
        <w:rPr>
          <w:rFonts w:hint="eastAsia" w:eastAsiaTheme="minorEastAsia"/>
          <w:szCs w:val="21"/>
        </w:rPr>
        <w:t>20 cm。</w:t>
      </w:r>
      <w:r>
        <w:rPr>
          <w:rFonts w:eastAsiaTheme="minorEastAsia"/>
          <w:szCs w:val="21"/>
        </w:rPr>
        <w:t xml:space="preserve"> </w:t>
      </w:r>
    </w:p>
    <w:p w14:paraId="31DD65E7">
      <w:pPr>
        <w:spacing w:line="276" w:lineRule="auto"/>
        <w:ind w:firstLine="0"/>
        <w:rPr>
          <w:rFonts w:eastAsiaTheme="minorEastAsia"/>
          <w:szCs w:val="21"/>
        </w:rPr>
      </w:pPr>
      <w:r>
        <w:rPr>
          <w:rFonts w:ascii="黑体" w:hAnsi="黑体" w:eastAsia="黑体"/>
          <w:bCs/>
          <w:color w:val="0D0D0D" w:themeColor="text1" w:themeTint="F2"/>
          <w:szCs w:val="21"/>
          <w14:textFill>
            <w14:solidFill>
              <w14:schemeClr w14:val="tx1">
                <w14:lumMod w14:val="95000"/>
                <w14:lumOff w14:val="5000"/>
              </w14:schemeClr>
            </w14:solidFill>
          </w14:textFill>
        </w:rPr>
        <w:t>5.</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2</w:t>
      </w:r>
      <w:r>
        <w:rPr>
          <w:rFonts w:ascii="黑体" w:hAnsi="黑体" w:eastAsia="黑体"/>
          <w:bCs/>
          <w:color w:val="0D0D0D" w:themeColor="text1" w:themeTint="F2"/>
          <w:szCs w:val="21"/>
          <w14:textFill>
            <w14:solidFill>
              <w14:schemeClr w14:val="tx1">
                <w14:lumMod w14:val="95000"/>
                <w14:lumOff w14:val="5000"/>
              </w14:schemeClr>
            </w14:solidFill>
          </w14:textFill>
        </w:rPr>
        <w:t>.3</w:t>
      </w:r>
      <w:r>
        <w:rPr>
          <w:rFonts w:hint="eastAsia" w:eastAsiaTheme="minorEastAsia"/>
          <w:szCs w:val="21"/>
        </w:rPr>
        <w:t>酸化土壤，宜每隔3年～5年施用1次石灰，施用量100 kg/亩～200 kg/亩；过沙或过黏的土壤宜通过掺黏、掺沙、客土等措施改良土壤质地。</w:t>
      </w:r>
    </w:p>
    <w:p w14:paraId="26F8FC73">
      <w:pPr>
        <w:spacing w:before="156" w:beforeLines="50" w:after="156" w:afterLines="50" w:line="240" w:lineRule="auto"/>
        <w:ind w:firstLine="0"/>
        <w:outlineLvl w:val="1"/>
        <w:rPr>
          <w:rFonts w:ascii="黑体" w:hAnsi="黑体" w:eastAsia="黑体"/>
          <w:color w:val="0D0D0D" w:themeColor="text1" w:themeTint="F2"/>
          <w:szCs w:val="21"/>
          <w14:textFill>
            <w14:solidFill>
              <w14:schemeClr w14:val="tx1">
                <w14:lumMod w14:val="95000"/>
                <w14:lumOff w14:val="5000"/>
              </w14:schemeClr>
            </w14:solidFill>
          </w14:textFill>
        </w:rPr>
      </w:pPr>
      <w:r>
        <w:rPr>
          <w:rFonts w:ascii="黑体" w:hAnsi="黑体" w:eastAsia="黑体"/>
          <w:bCs/>
          <w:color w:val="0D0D0D" w:themeColor="text1" w:themeTint="F2"/>
          <w:szCs w:val="21"/>
          <w14:textFill>
            <w14:solidFill>
              <w14:schemeClr w14:val="tx1">
                <w14:lumMod w14:val="95000"/>
                <w14:lumOff w14:val="5000"/>
              </w14:schemeClr>
            </w14:solidFill>
          </w14:textFill>
        </w:rPr>
        <w:t>5.</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3</w:t>
      </w:r>
      <w:r>
        <w:rPr>
          <w:rFonts w:hint="eastAsia" w:ascii="黑体" w:hAnsi="黑体" w:eastAsia="黑体"/>
          <w:color w:val="0D0D0D" w:themeColor="text1" w:themeTint="F2"/>
          <w:szCs w:val="21"/>
          <w14:textFill>
            <w14:solidFill>
              <w14:schemeClr w14:val="tx1">
                <w14:lumMod w14:val="95000"/>
                <w14:lumOff w14:val="5000"/>
              </w14:schemeClr>
            </w14:solidFill>
          </w14:textFill>
        </w:rPr>
        <w:t>碳氮协同减排技术</w:t>
      </w:r>
    </w:p>
    <w:p w14:paraId="767AD58B">
      <w:pPr>
        <w:spacing w:before="240" w:after="240" w:line="276" w:lineRule="auto"/>
        <w:ind w:firstLine="0"/>
        <w:jc w:val="left"/>
        <w:outlineLvl w:val="0"/>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szCs w:val="21"/>
          <w14:textFill>
            <w14:solidFill>
              <w14:schemeClr w14:val="tx1">
                <w14:lumMod w14:val="95000"/>
                <w14:lumOff w14:val="5000"/>
              </w14:schemeClr>
            </w14:solidFill>
          </w14:textFill>
        </w:rPr>
        <w:t>5.3.1碳氮排放风险期</w:t>
      </w:r>
    </w:p>
    <w:p w14:paraId="585AA919">
      <w:pPr>
        <w:spacing w:line="276" w:lineRule="auto"/>
        <w:ind w:firstLineChars="200"/>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水稻整地泡田期、移栽稻返青期、直播</w:t>
      </w:r>
      <w:r>
        <w:rPr>
          <w:bCs/>
          <w:color w:val="0D0D0D" w:themeColor="text1" w:themeTint="F2"/>
          <w:szCs w:val="21"/>
          <w14:textFill>
            <w14:solidFill>
              <w14:schemeClr w14:val="tx1">
                <w14:lumMod w14:val="95000"/>
                <w14:lumOff w14:val="5000"/>
              </w14:schemeClr>
            </w14:solidFill>
          </w14:textFill>
        </w:rPr>
        <w:t>稻播种至三叶期、水稻施肥后7d内为氮</w:t>
      </w:r>
      <w:r>
        <w:rPr>
          <w:rFonts w:hint="eastAsia"/>
          <w:bCs/>
          <w:color w:val="0D0D0D" w:themeColor="text1" w:themeTint="F2"/>
          <w:szCs w:val="21"/>
          <w14:textFill>
            <w14:solidFill>
              <w14:schemeClr w14:val="tx1">
                <w14:lumMod w14:val="95000"/>
                <w14:lumOff w14:val="5000"/>
              </w14:schemeClr>
            </w14:solidFill>
          </w14:textFill>
        </w:rPr>
        <w:t>排放</w:t>
      </w:r>
      <w:r>
        <w:rPr>
          <w:bCs/>
          <w:color w:val="0D0D0D" w:themeColor="text1" w:themeTint="F2"/>
          <w:szCs w:val="21"/>
          <w14:textFill>
            <w14:solidFill>
              <w14:schemeClr w14:val="tx1">
                <w14:lumMod w14:val="95000"/>
                <w14:lumOff w14:val="5000"/>
              </w14:schemeClr>
            </w14:solidFill>
          </w14:textFill>
        </w:rPr>
        <w:t>风险期；</w:t>
      </w:r>
      <w:r>
        <w:rPr>
          <w:rFonts w:hint="eastAsia"/>
          <w:bCs/>
          <w:color w:val="0D0D0D" w:themeColor="text1" w:themeTint="F2"/>
          <w:szCs w:val="21"/>
          <w14:textFill>
            <w14:solidFill>
              <w14:schemeClr w14:val="tx1">
                <w14:lumMod w14:val="95000"/>
                <w14:lumOff w14:val="5000"/>
              </w14:schemeClr>
            </w14:solidFill>
          </w14:textFill>
        </w:rPr>
        <w:t>水稻</w:t>
      </w:r>
      <w:r>
        <w:rPr>
          <w:bCs/>
          <w:color w:val="0D0D0D" w:themeColor="text1" w:themeTint="F2"/>
          <w:szCs w:val="21"/>
          <w14:textFill>
            <w14:solidFill>
              <w14:schemeClr w14:val="tx1">
                <w14:lumMod w14:val="95000"/>
                <w14:lumOff w14:val="5000"/>
              </w14:schemeClr>
            </w14:solidFill>
          </w14:textFill>
        </w:rPr>
        <w:t>分蘖至拔节期为碳排放风险期；其中，分蘖肥后7d内为碳氮排放叠加风险期。</w:t>
      </w:r>
    </w:p>
    <w:p w14:paraId="38F98DFC">
      <w:pPr>
        <w:spacing w:before="240" w:after="240" w:line="276" w:lineRule="auto"/>
        <w:ind w:firstLine="0"/>
        <w:jc w:val="left"/>
        <w:outlineLvl w:val="0"/>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szCs w:val="21"/>
          <w14:textFill>
            <w14:solidFill>
              <w14:schemeClr w14:val="tx1">
                <w14:lumMod w14:val="95000"/>
                <w14:lumOff w14:val="5000"/>
              </w14:schemeClr>
            </w14:solidFill>
          </w14:textFill>
        </w:rPr>
        <w:t>5.3.2水分管理</w:t>
      </w:r>
    </w:p>
    <w:p w14:paraId="24467F0D">
      <w:pPr>
        <w:spacing w:line="276" w:lineRule="auto"/>
        <w:ind w:firstLine="0"/>
        <w:rPr>
          <w:rFonts w:eastAsiaTheme="minorEastAsia"/>
        </w:rPr>
      </w:pPr>
      <w:r>
        <w:rPr>
          <w:rFonts w:ascii="黑体" w:hAnsi="黑体" w:eastAsia="黑体"/>
          <w:bCs/>
          <w:color w:val="0D0D0D" w:themeColor="text1" w:themeTint="F2"/>
          <w:szCs w:val="21"/>
          <w14:textFill>
            <w14:solidFill>
              <w14:schemeClr w14:val="tx1">
                <w14:lumMod w14:val="95000"/>
                <w14:lumOff w14:val="5000"/>
              </w14:schemeClr>
            </w14:solidFill>
          </w14:textFill>
        </w:rPr>
        <w:t>5.</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3</w:t>
      </w:r>
      <w:r>
        <w:rPr>
          <w:rFonts w:ascii="黑体" w:hAnsi="黑体" w:eastAsia="黑体"/>
          <w:bCs/>
          <w:color w:val="0D0D0D" w:themeColor="text1" w:themeTint="F2"/>
          <w:szCs w:val="21"/>
          <w14:textFill>
            <w14:solidFill>
              <w14:schemeClr w14:val="tx1">
                <w14:lumMod w14:val="95000"/>
                <w14:lumOff w14:val="5000"/>
              </w14:schemeClr>
            </w14:solidFill>
          </w14:textFill>
        </w:rPr>
        <w:t>.</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2</w:t>
      </w:r>
      <w:r>
        <w:rPr>
          <w:rFonts w:ascii="黑体" w:hAnsi="黑体" w:eastAsia="黑体"/>
          <w:bCs/>
          <w:color w:val="0D0D0D" w:themeColor="text1" w:themeTint="F2"/>
          <w:szCs w:val="21"/>
          <w14:textFill>
            <w14:solidFill>
              <w14:schemeClr w14:val="tx1">
                <w14:lumMod w14:val="95000"/>
                <w14:lumOff w14:val="5000"/>
              </w14:schemeClr>
            </w14:solidFill>
          </w14:textFill>
        </w:rPr>
        <w:t>.1</w:t>
      </w:r>
      <w:r>
        <w:rPr>
          <w:rFonts w:hint="eastAsia"/>
        </w:rPr>
        <w:t>氮排放风险期前，</w:t>
      </w:r>
      <w:r>
        <w:rPr>
          <w:rFonts w:hint="eastAsia" w:eastAsiaTheme="minorEastAsia"/>
        </w:rPr>
        <w:t xml:space="preserve">宜适当排放灌排单元系统内沟、塘存水，腾出库容以拦蓄稻田排水，其余时期宜将沟、塘闸门调至最高安全水位进行蓄水，提前排水量和库容按NY/T 3823计算。稻田灌溉宜优先采用灌排单元内沟渠及池塘蓄水。 </w:t>
      </w:r>
    </w:p>
    <w:p w14:paraId="3F84D915">
      <w:pPr>
        <w:spacing w:line="276" w:lineRule="auto"/>
        <w:ind w:firstLine="0"/>
        <w:rPr>
          <w:rFonts w:eastAsiaTheme="minorEastAsia"/>
        </w:rPr>
      </w:pPr>
      <w:r>
        <w:rPr>
          <w:rFonts w:ascii="黑体" w:hAnsi="黑体" w:eastAsia="黑体"/>
          <w:bCs/>
          <w:color w:val="0D0D0D" w:themeColor="text1" w:themeTint="F2"/>
          <w:szCs w:val="21"/>
          <w14:textFill>
            <w14:solidFill>
              <w14:schemeClr w14:val="tx1">
                <w14:lumMod w14:val="95000"/>
                <w14:lumOff w14:val="5000"/>
              </w14:schemeClr>
            </w14:solidFill>
          </w14:textFill>
        </w:rPr>
        <w:t>5.</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3</w:t>
      </w:r>
      <w:r>
        <w:rPr>
          <w:rFonts w:ascii="黑体" w:hAnsi="黑体" w:eastAsia="黑体"/>
          <w:bCs/>
          <w:color w:val="0D0D0D" w:themeColor="text1" w:themeTint="F2"/>
          <w:szCs w:val="21"/>
          <w14:textFill>
            <w14:solidFill>
              <w14:schemeClr w14:val="tx1">
                <w14:lumMod w14:val="95000"/>
                <w14:lumOff w14:val="5000"/>
              </w14:schemeClr>
            </w14:solidFill>
          </w14:textFill>
        </w:rPr>
        <w:t>.</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2</w:t>
      </w:r>
      <w:r>
        <w:rPr>
          <w:rFonts w:ascii="黑体" w:hAnsi="黑体" w:eastAsia="黑体"/>
          <w:bCs/>
          <w:color w:val="0D0D0D" w:themeColor="text1" w:themeTint="F2"/>
          <w:szCs w:val="21"/>
          <w14:textFill>
            <w14:solidFill>
              <w14:schemeClr w14:val="tx1">
                <w14:lumMod w14:val="95000"/>
                <w14:lumOff w14:val="5000"/>
              </w14:schemeClr>
            </w14:solidFill>
          </w14:textFill>
        </w:rPr>
        <w:t>.2</w:t>
      </w:r>
      <w:r>
        <w:rPr>
          <w:rFonts w:hint="eastAsia" w:eastAsiaTheme="minorEastAsia"/>
        </w:rPr>
        <w:t>风险期具体的</w:t>
      </w:r>
      <w:r>
        <w:rPr>
          <w:rFonts w:eastAsiaTheme="minorEastAsia"/>
        </w:rPr>
        <w:t>水分调控目标</w:t>
      </w:r>
      <w:r>
        <w:rPr>
          <w:rFonts w:hint="eastAsia" w:eastAsiaTheme="minorEastAsia"/>
        </w:rPr>
        <w:t>和灌溉量参照附录B。非碳、氮排放风险期根据当地水资源条件选择适宜的节水灌溉模式进行灌水管理，</w:t>
      </w:r>
      <w:r>
        <w:rPr>
          <w:rFonts w:hint="eastAsia" w:eastAsiaTheme="minorEastAsia"/>
          <w:color w:val="000000" w:themeColor="text1"/>
          <w14:textFill>
            <w14:solidFill>
              <w14:schemeClr w14:val="tx1"/>
            </w14:solidFill>
          </w14:textFill>
        </w:rPr>
        <w:t>灌溉间隔时长</w:t>
      </w:r>
      <w:r>
        <w:rPr>
          <w:rFonts w:eastAsiaTheme="minorEastAsia"/>
          <w:color w:val="000000" w:themeColor="text1"/>
          <w14:textFill>
            <w14:solidFill>
              <w14:schemeClr w14:val="tx1"/>
            </w14:solidFill>
          </w14:textFill>
        </w:rPr>
        <w:t xml:space="preserve">7 </w:t>
      </w:r>
      <w:r>
        <w:rPr>
          <w:rFonts w:hint="eastAsia" w:eastAsiaTheme="minorEastAsia"/>
          <w:color w:val="000000" w:themeColor="text1"/>
          <w14:textFill>
            <w14:solidFill>
              <w14:schemeClr w14:val="tx1"/>
            </w14:solidFill>
          </w14:textFill>
        </w:rPr>
        <w:t>d</w:t>
      </w:r>
      <w:r>
        <w:rPr>
          <w:rFonts w:eastAsiaTheme="minorEastAsia"/>
          <w:color w:val="000000" w:themeColor="text1"/>
          <w14:textFill>
            <w14:solidFill>
              <w14:schemeClr w14:val="tx1"/>
            </w14:solidFill>
          </w14:textFill>
        </w:rPr>
        <w:t xml:space="preserve"> ～</w:t>
      </w:r>
      <w:r>
        <w:rPr>
          <w:rFonts w:hint="eastAsia" w:eastAsiaTheme="minorEastAsia"/>
          <w:color w:val="000000" w:themeColor="text1"/>
          <w14:textFill>
            <w14:solidFill>
              <w14:schemeClr w14:val="tx1"/>
            </w14:solidFill>
          </w14:textFill>
        </w:rPr>
        <w:t>10 d左右，水稻收获前7</w:t>
      </w:r>
      <w:r>
        <w:rPr>
          <w:rFonts w:eastAsiaTheme="minorEastAsia"/>
          <w:color w:val="000000" w:themeColor="text1"/>
          <w14:textFill>
            <w14:solidFill>
              <w14:schemeClr w14:val="tx1"/>
            </w14:solidFill>
          </w14:textFill>
        </w:rPr>
        <w:t xml:space="preserve"> d</w:t>
      </w:r>
      <w:bookmarkStart w:id="33" w:name="OLE_LINK162"/>
      <w:bookmarkStart w:id="34" w:name="OLE_LINK161"/>
      <w:r>
        <w:rPr>
          <w:rFonts w:eastAsiaTheme="minorEastAsia"/>
          <w:color w:val="000000" w:themeColor="text1"/>
          <w14:textFill>
            <w14:solidFill>
              <w14:schemeClr w14:val="tx1"/>
            </w14:solidFill>
          </w14:textFill>
        </w:rPr>
        <w:t>～</w:t>
      </w:r>
      <w:bookmarkEnd w:id="33"/>
      <w:bookmarkEnd w:id="34"/>
      <w:r>
        <w:rPr>
          <w:rFonts w:hint="eastAsia" w:eastAsiaTheme="minorEastAsia"/>
          <w:color w:val="000000" w:themeColor="text1"/>
          <w14:textFill>
            <w14:solidFill>
              <w14:schemeClr w14:val="tx1"/>
            </w14:solidFill>
          </w14:textFill>
        </w:rPr>
        <w:t xml:space="preserve">10 </w:t>
      </w:r>
      <w:r>
        <w:rPr>
          <w:rFonts w:eastAsiaTheme="minorEastAsia"/>
          <w:color w:val="000000" w:themeColor="text1"/>
          <w14:textFill>
            <w14:solidFill>
              <w14:schemeClr w14:val="tx1"/>
            </w14:solidFill>
          </w14:textFill>
        </w:rPr>
        <w:t>d</w:t>
      </w:r>
      <w:r>
        <w:rPr>
          <w:rFonts w:hint="eastAsia" w:eastAsiaTheme="minorEastAsia"/>
          <w:color w:val="000000" w:themeColor="text1"/>
          <w14:textFill>
            <w14:solidFill>
              <w14:schemeClr w14:val="tx1"/>
            </w14:solidFill>
          </w14:textFill>
        </w:rPr>
        <w:t>断水，自然落干。</w:t>
      </w:r>
    </w:p>
    <w:p w14:paraId="58C8DDF4">
      <w:pPr>
        <w:spacing w:before="240" w:after="240" w:line="276" w:lineRule="auto"/>
        <w:ind w:firstLine="0"/>
        <w:jc w:val="left"/>
        <w:outlineLvl w:val="0"/>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szCs w:val="21"/>
          <w14:textFill>
            <w14:solidFill>
              <w14:schemeClr w14:val="tx1">
                <w14:lumMod w14:val="95000"/>
                <w14:lumOff w14:val="5000"/>
              </w14:schemeClr>
            </w14:solidFill>
          </w14:textFill>
        </w:rPr>
        <w:t>5.3.3施肥管理</w:t>
      </w:r>
    </w:p>
    <w:p w14:paraId="3C458D9C">
      <w:pPr>
        <w:spacing w:line="276" w:lineRule="auto"/>
        <w:ind w:firstLine="0"/>
        <w:rPr>
          <w:rFonts w:eastAsiaTheme="minorEastAsia"/>
        </w:rPr>
      </w:pPr>
      <w:r>
        <w:rPr>
          <w:rFonts w:ascii="黑体" w:hAnsi="黑体" w:eastAsia="黑体"/>
          <w:bCs/>
          <w:color w:val="0D0D0D" w:themeColor="text1" w:themeTint="F2"/>
          <w:szCs w:val="21"/>
          <w14:textFill>
            <w14:solidFill>
              <w14:schemeClr w14:val="tx1">
                <w14:lumMod w14:val="95000"/>
                <w14:lumOff w14:val="5000"/>
              </w14:schemeClr>
            </w14:solidFill>
          </w14:textFill>
        </w:rPr>
        <w:t>5.</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3</w:t>
      </w:r>
      <w:r>
        <w:rPr>
          <w:rFonts w:ascii="黑体" w:hAnsi="黑体" w:eastAsia="黑体"/>
          <w:bCs/>
          <w:color w:val="0D0D0D" w:themeColor="text1" w:themeTint="F2"/>
          <w:szCs w:val="21"/>
          <w14:textFill>
            <w14:solidFill>
              <w14:schemeClr w14:val="tx1">
                <w14:lumMod w14:val="95000"/>
                <w14:lumOff w14:val="5000"/>
              </w14:schemeClr>
            </w14:solidFill>
          </w14:textFill>
        </w:rPr>
        <w:t>.</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3</w:t>
      </w:r>
      <w:r>
        <w:rPr>
          <w:rFonts w:ascii="黑体" w:hAnsi="黑体" w:eastAsia="黑体"/>
          <w:bCs/>
          <w:color w:val="0D0D0D" w:themeColor="text1" w:themeTint="F2"/>
          <w:szCs w:val="21"/>
          <w14:textFill>
            <w14:solidFill>
              <w14:schemeClr w14:val="tx1">
                <w14:lumMod w14:val="95000"/>
                <w14:lumOff w14:val="5000"/>
              </w14:schemeClr>
            </w14:solidFill>
          </w14:textFill>
        </w:rPr>
        <w:t>.1</w:t>
      </w:r>
      <w:r>
        <w:rPr>
          <w:rFonts w:hint="eastAsia" w:eastAsiaTheme="minorEastAsia"/>
        </w:rPr>
        <w:t>依据地方农业农村部门发布的科学施肥指导意见确定早稻、晚稻施肥量和氮磷钾配比。</w:t>
      </w:r>
    </w:p>
    <w:p w14:paraId="53567203">
      <w:pPr>
        <w:spacing w:line="276" w:lineRule="auto"/>
        <w:ind w:firstLine="0"/>
        <w:rPr>
          <w:rFonts w:eastAsiaTheme="minorEastAsia"/>
        </w:rPr>
      </w:pPr>
      <w:r>
        <w:rPr>
          <w:rFonts w:ascii="黑体" w:hAnsi="黑体" w:eastAsia="黑体"/>
          <w:bCs/>
          <w:color w:val="0D0D0D" w:themeColor="text1" w:themeTint="F2"/>
          <w:szCs w:val="21"/>
          <w14:textFill>
            <w14:solidFill>
              <w14:schemeClr w14:val="tx1">
                <w14:lumMod w14:val="95000"/>
                <w14:lumOff w14:val="5000"/>
              </w14:schemeClr>
            </w14:solidFill>
          </w14:textFill>
        </w:rPr>
        <w:t>5.</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3</w:t>
      </w:r>
      <w:r>
        <w:rPr>
          <w:rFonts w:ascii="黑体" w:hAnsi="黑体" w:eastAsia="黑体"/>
          <w:bCs/>
          <w:color w:val="0D0D0D" w:themeColor="text1" w:themeTint="F2"/>
          <w:szCs w:val="21"/>
          <w14:textFill>
            <w14:solidFill>
              <w14:schemeClr w14:val="tx1">
                <w14:lumMod w14:val="95000"/>
                <w14:lumOff w14:val="5000"/>
              </w14:schemeClr>
            </w14:solidFill>
          </w14:textFill>
        </w:rPr>
        <w:t>.</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3</w:t>
      </w:r>
      <w:r>
        <w:rPr>
          <w:rFonts w:ascii="黑体" w:hAnsi="黑体" w:eastAsia="黑体"/>
          <w:bCs/>
          <w:color w:val="0D0D0D" w:themeColor="text1" w:themeTint="F2"/>
          <w:szCs w:val="21"/>
          <w14:textFill>
            <w14:solidFill>
              <w14:schemeClr w14:val="tx1">
                <w14:lumMod w14:val="95000"/>
                <w14:lumOff w14:val="5000"/>
              </w14:schemeClr>
            </w14:solidFill>
          </w14:textFill>
        </w:rPr>
        <w:t>.2</w:t>
      </w:r>
      <w:r>
        <w:rPr>
          <w:rFonts w:hint="eastAsia" w:eastAsiaTheme="minorEastAsia"/>
        </w:rPr>
        <w:t>移栽稻（早稻、晚稻）基肥宜选用含有一定比例缓控释养分的专用肥、缓</w:t>
      </w:r>
      <w:r>
        <w:rPr>
          <w:rFonts w:eastAsiaTheme="minorEastAsia"/>
        </w:rPr>
        <w:t>/</w:t>
      </w:r>
      <w:r>
        <w:rPr>
          <w:rFonts w:hint="eastAsia" w:eastAsiaTheme="minorEastAsia"/>
        </w:rPr>
        <w:t>控释肥、配方肥等，并配套机插秧同步侧深施肥技术，全部肥料一次性侧深施入</w:t>
      </w:r>
      <w:r>
        <w:rPr>
          <w:rFonts w:hint="eastAsia" w:eastAsiaTheme="minorEastAsia"/>
          <w:lang w:eastAsia="zh-CN"/>
        </w:rPr>
        <w:t>。</w:t>
      </w:r>
    </w:p>
    <w:p w14:paraId="5A0787ED">
      <w:pPr>
        <w:spacing w:line="276" w:lineRule="auto"/>
        <w:ind w:firstLine="0"/>
        <w:rPr>
          <w:rFonts w:eastAsiaTheme="minorEastAsia"/>
        </w:rPr>
      </w:pPr>
      <w:r>
        <w:rPr>
          <w:rFonts w:hint="eastAsia" w:ascii="黑体" w:hAnsi="黑体" w:eastAsia="黑体"/>
          <w:bCs/>
          <w:color w:val="0D0D0D" w:themeColor="text1" w:themeTint="F2"/>
          <w:szCs w:val="21"/>
          <w14:textFill>
            <w14:solidFill>
              <w14:schemeClr w14:val="tx1">
                <w14:lumMod w14:val="95000"/>
                <w14:lumOff w14:val="5000"/>
              </w14:schemeClr>
            </w14:solidFill>
          </w14:textFill>
        </w:rPr>
        <w:t xml:space="preserve">5.3.3.3 </w:t>
      </w:r>
      <w:r>
        <w:rPr>
          <w:rFonts w:hint="eastAsia" w:eastAsiaTheme="minorEastAsia"/>
        </w:rPr>
        <w:t>湿直播稻基肥宜选用含有一定比例缓控释养分的专用肥、配方肥等；全生育期50%～60%氮肥、全部磷肥和50%钾肥和全部硅肥作为基肥在整地前施入，20%～30%氮肥作为分蘖肥追施，20%～30%氮肥和50%钾肥作为穗肥追施。</w:t>
      </w:r>
    </w:p>
    <w:p w14:paraId="1E47239E">
      <w:pPr>
        <w:spacing w:line="276" w:lineRule="auto"/>
        <w:ind w:firstLine="0"/>
        <w:rPr>
          <w:rFonts w:eastAsiaTheme="minorEastAsia"/>
        </w:rPr>
      </w:pPr>
      <w:r>
        <w:rPr>
          <w:rFonts w:hint="eastAsia" w:ascii="黑体" w:hAnsi="黑体" w:eastAsia="黑体"/>
          <w:bCs/>
          <w:color w:val="0D0D0D" w:themeColor="text1" w:themeTint="F2"/>
          <w:szCs w:val="21"/>
          <w14:textFill>
            <w14:solidFill>
              <w14:schemeClr w14:val="tx1">
                <w14:lumMod w14:val="95000"/>
                <w14:lumOff w14:val="5000"/>
              </w14:schemeClr>
            </w14:solidFill>
          </w14:textFill>
        </w:rPr>
        <w:t xml:space="preserve">5.3.3.4 </w:t>
      </w:r>
      <w:r>
        <w:rPr>
          <w:rFonts w:hint="eastAsia" w:eastAsiaTheme="minorEastAsia"/>
        </w:rPr>
        <w:t>旱直播稻基肥宜选用含有一定比例缓控释养分的专用肥、配方肥等；全生育期30%～40%氮肥、全部磷肥和50%钾肥和全部硅肥作为基肥在整地前施入，30%～40%氮肥作为分蘖肥追施，20%～40%氮肥和50%钾肥作为穗肥追施。</w:t>
      </w:r>
    </w:p>
    <w:p w14:paraId="3670BE90">
      <w:pPr>
        <w:spacing w:before="240" w:after="240" w:line="276" w:lineRule="auto"/>
        <w:ind w:firstLine="0"/>
        <w:jc w:val="left"/>
        <w:outlineLvl w:val="0"/>
        <w:rPr>
          <w:rFonts w:ascii="黑体" w:hAnsi="黑体" w:eastAsia="黑体"/>
          <w:color w:val="0D0D0D" w:themeColor="text1" w:themeTint="F2"/>
          <w:szCs w:val="21"/>
          <w14:textFill>
            <w14:solidFill>
              <w14:schemeClr w14:val="tx1">
                <w14:lumMod w14:val="95000"/>
                <w14:lumOff w14:val="5000"/>
              </w14:schemeClr>
            </w14:solidFill>
          </w14:textFill>
        </w:rPr>
      </w:pPr>
      <w:bookmarkStart w:id="35" w:name="_Hlk195966731"/>
      <w:r>
        <w:rPr>
          <w:rFonts w:hint="eastAsia" w:ascii="黑体" w:hAnsi="黑体" w:eastAsia="黑体"/>
          <w:color w:val="0D0D0D" w:themeColor="text1" w:themeTint="F2"/>
          <w:szCs w:val="21"/>
          <w14:textFill>
            <w14:solidFill>
              <w14:schemeClr w14:val="tx1">
                <w14:lumMod w14:val="95000"/>
                <w14:lumOff w14:val="5000"/>
              </w14:schemeClr>
            </w14:solidFill>
          </w14:textFill>
        </w:rPr>
        <w:t>6效果评价</w:t>
      </w:r>
    </w:p>
    <w:p w14:paraId="7EFC2DB3">
      <w:pPr>
        <w:spacing w:line="276" w:lineRule="auto"/>
        <w:ind w:firstLine="0"/>
        <w:rPr>
          <w:rFonts w:eastAsiaTheme="minorEastAsia"/>
        </w:rPr>
      </w:pPr>
      <w:r>
        <w:rPr>
          <w:rFonts w:ascii="黑体" w:hAnsi="黑体" w:eastAsia="黑体"/>
          <w:bCs/>
          <w:color w:val="0D0D0D" w:themeColor="text1" w:themeTint="F2"/>
          <w:szCs w:val="21"/>
          <w14:textFill>
            <w14:solidFill>
              <w14:schemeClr w14:val="tx1">
                <w14:lumMod w14:val="95000"/>
                <w14:lumOff w14:val="5000"/>
              </w14:schemeClr>
            </w14:solidFill>
          </w14:textFill>
        </w:rPr>
        <w:t>6.</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1</w:t>
      </w:r>
      <w:r>
        <w:rPr>
          <w:rFonts w:hint="eastAsia" w:eastAsiaTheme="minorEastAsia"/>
        </w:rPr>
        <w:t>监测技术实施前后耕层土壤有机质、全氮、有效磷、速效钾和土壤pH值指标，结合历史数据，评估地力变化趋势，评价其土壤保育效果。</w:t>
      </w:r>
    </w:p>
    <w:p w14:paraId="25465231">
      <w:pPr>
        <w:spacing w:line="276" w:lineRule="auto"/>
        <w:ind w:firstLine="0"/>
        <w:rPr>
          <w:rFonts w:eastAsiaTheme="minorEastAsia"/>
        </w:rPr>
      </w:pPr>
      <w:r>
        <w:rPr>
          <w:rFonts w:ascii="黑体" w:hAnsi="黑体" w:eastAsia="黑体"/>
          <w:bCs/>
          <w:color w:val="0D0D0D" w:themeColor="text1" w:themeTint="F2"/>
          <w:szCs w:val="21"/>
          <w14:textFill>
            <w14:solidFill>
              <w14:schemeClr w14:val="tx1">
                <w14:lumMod w14:val="95000"/>
                <w14:lumOff w14:val="5000"/>
              </w14:schemeClr>
            </w14:solidFill>
          </w14:textFill>
        </w:rPr>
        <w:t>6.</w:t>
      </w:r>
      <w:r>
        <w:rPr>
          <w:rFonts w:hint="eastAsia" w:ascii="黑体" w:hAnsi="黑体" w:eastAsia="黑体"/>
          <w:bCs/>
          <w:color w:val="0D0D0D" w:themeColor="text1" w:themeTint="F2"/>
          <w:szCs w:val="21"/>
          <w14:textFill>
            <w14:solidFill>
              <w14:schemeClr w14:val="tx1">
                <w14:lumMod w14:val="95000"/>
                <w14:lumOff w14:val="5000"/>
              </w14:schemeClr>
            </w14:solidFill>
          </w14:textFill>
        </w:rPr>
        <w:t>2</w:t>
      </w:r>
      <w:r>
        <w:rPr>
          <w:rFonts w:hint="eastAsia" w:eastAsiaTheme="minorEastAsia"/>
        </w:rPr>
        <w:t>监测技术实施前后稻田田面水和排水口总氮、硝态氮和铵态氮等指标，评价其氮减排效果。</w:t>
      </w:r>
    </w:p>
    <w:p w14:paraId="5974940E">
      <w:pPr>
        <w:spacing w:line="276" w:lineRule="auto"/>
        <w:ind w:firstLine="0"/>
        <w:rPr>
          <w:rFonts w:ascii="黑体" w:hAnsi="黑体" w:eastAsia="黑体"/>
          <w:bCs/>
          <w:color w:val="0D0D0D" w:themeColor="text1" w:themeTint="F2"/>
          <w:szCs w:val="21"/>
          <w14:textFill>
            <w14:solidFill>
              <w14:schemeClr w14:val="tx1">
                <w14:lumMod w14:val="95000"/>
                <w14:lumOff w14:val="5000"/>
              </w14:schemeClr>
            </w14:solidFill>
          </w14:textFill>
        </w:rPr>
      </w:pPr>
      <w:r>
        <w:rPr>
          <w:rFonts w:ascii="黑体" w:hAnsi="黑体" w:eastAsia="黑体"/>
          <w:bCs/>
          <w:color w:val="0D0D0D" w:themeColor="text1" w:themeTint="F2"/>
          <w:szCs w:val="21"/>
          <w14:textFill>
            <w14:solidFill>
              <w14:schemeClr w14:val="tx1">
                <w14:lumMod w14:val="95000"/>
                <w14:lumOff w14:val="5000"/>
              </w14:schemeClr>
            </w14:solidFill>
          </w14:textFill>
        </w:rPr>
        <w:t>6.3</w:t>
      </w:r>
      <w:r>
        <w:rPr>
          <w:rFonts w:eastAsiaTheme="minorEastAsia"/>
        </w:rPr>
        <w:t xml:space="preserve"> </w:t>
      </w:r>
      <w:r>
        <w:rPr>
          <w:rFonts w:hint="eastAsia" w:eastAsiaTheme="minorEastAsia"/>
        </w:rPr>
        <w:t>监测技术实施前后</w:t>
      </w:r>
      <w:r>
        <w:rPr>
          <w:rFonts w:eastAsiaTheme="minorEastAsia"/>
        </w:rPr>
        <w:t>N</w:t>
      </w:r>
      <w:r>
        <w:rPr>
          <w:rFonts w:eastAsiaTheme="minorEastAsia"/>
          <w:vertAlign w:val="subscript"/>
        </w:rPr>
        <w:t>2</w:t>
      </w:r>
      <w:r>
        <w:rPr>
          <w:rFonts w:eastAsiaTheme="minorEastAsia"/>
        </w:rPr>
        <w:t>O</w:t>
      </w:r>
      <w:r>
        <w:rPr>
          <w:rFonts w:hint="eastAsia" w:eastAsiaTheme="minorEastAsia"/>
        </w:rPr>
        <w:t>、</w:t>
      </w:r>
      <w:r>
        <w:rPr>
          <w:rFonts w:eastAsiaTheme="minorEastAsia"/>
        </w:rPr>
        <w:t>CH</w:t>
      </w:r>
      <w:r>
        <w:rPr>
          <w:rFonts w:eastAsiaTheme="minorEastAsia"/>
          <w:vertAlign w:val="subscript"/>
        </w:rPr>
        <w:t>4</w:t>
      </w:r>
      <w:r>
        <w:rPr>
          <w:rFonts w:hint="eastAsia" w:eastAsiaTheme="minorEastAsia"/>
        </w:rPr>
        <w:t>排放速率等稻田气体排放，评价其碳减排效果。</w:t>
      </w:r>
    </w:p>
    <w:p w14:paraId="3D7E3DAD">
      <w:pPr>
        <w:spacing w:before="240" w:after="240" w:line="276" w:lineRule="auto"/>
        <w:ind w:firstLine="0"/>
        <w:jc w:val="left"/>
        <w:outlineLvl w:val="0"/>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szCs w:val="21"/>
          <w14:textFill>
            <w14:solidFill>
              <w14:schemeClr w14:val="tx1">
                <w14:lumMod w14:val="95000"/>
                <w14:lumOff w14:val="5000"/>
              </w14:schemeClr>
            </w14:solidFill>
          </w14:textFill>
        </w:rPr>
        <w:t>7档案记录</w:t>
      </w:r>
    </w:p>
    <w:p w14:paraId="7B297A7E">
      <w:pPr>
        <w:spacing w:line="276" w:lineRule="auto"/>
        <w:ind w:firstLine="0"/>
        <w:rPr>
          <w:rFonts w:eastAsiaTheme="minorEastAsia"/>
        </w:rPr>
      </w:pPr>
      <w:r>
        <w:rPr>
          <w:rFonts w:hint="eastAsia" w:ascii="黑体" w:hAnsi="黑体" w:eastAsia="黑体"/>
          <w:bCs/>
          <w:color w:val="0D0D0D" w:themeColor="text1" w:themeTint="F2"/>
          <w:szCs w:val="21"/>
          <w14:textFill>
            <w14:solidFill>
              <w14:schemeClr w14:val="tx1">
                <w14:lumMod w14:val="95000"/>
                <w14:lumOff w14:val="5000"/>
              </w14:schemeClr>
            </w14:solidFill>
          </w14:textFill>
        </w:rPr>
        <w:t>7</w:t>
      </w:r>
      <w:r>
        <w:rPr>
          <w:rFonts w:ascii="黑体" w:hAnsi="黑体" w:eastAsia="黑体"/>
          <w:bCs/>
          <w:color w:val="0D0D0D" w:themeColor="text1" w:themeTint="F2"/>
          <w:szCs w:val="21"/>
          <w14:textFill>
            <w14:solidFill>
              <w14:schemeClr w14:val="tx1">
                <w14:lumMod w14:val="95000"/>
                <w14:lumOff w14:val="5000"/>
              </w14:schemeClr>
            </w14:solidFill>
          </w14:textFill>
        </w:rPr>
        <w:t>.1</w:t>
      </w:r>
      <w:r>
        <w:rPr>
          <w:rFonts w:hint="eastAsia" w:eastAsiaTheme="minorEastAsia"/>
        </w:rPr>
        <w:t>土壤保育和碳氮减排措施实施一段时间后，由地方农业部门开展效果监测与评估，编制双季稻田土壤保育与碳氮减排效果监测与评估报告，并报县级农业农村部门备案。</w:t>
      </w:r>
      <w:bookmarkStart w:id="36" w:name="_Hlk195969738"/>
      <w:r>
        <w:rPr>
          <w:rFonts w:hint="eastAsia" w:eastAsiaTheme="minorEastAsia"/>
        </w:rPr>
        <w:t>双季稻田土壤保育与碳氮减排效果监测与评估报告大纲见附录C。</w:t>
      </w:r>
    </w:p>
    <w:bookmarkEnd w:id="36"/>
    <w:p w14:paraId="5518A971">
      <w:pPr>
        <w:spacing w:line="276" w:lineRule="auto"/>
        <w:ind w:firstLine="0"/>
        <w:rPr>
          <w:rFonts w:eastAsiaTheme="minorEastAsia"/>
        </w:rPr>
      </w:pPr>
      <w:r>
        <w:rPr>
          <w:rFonts w:hint="eastAsia" w:ascii="黑体" w:hAnsi="黑体" w:eastAsia="黑体"/>
          <w:bCs/>
          <w:color w:val="0D0D0D" w:themeColor="text1" w:themeTint="F2"/>
          <w:szCs w:val="21"/>
          <w14:textFill>
            <w14:solidFill>
              <w14:schemeClr w14:val="tx1">
                <w14:lumMod w14:val="95000"/>
                <w14:lumOff w14:val="5000"/>
              </w14:schemeClr>
            </w14:solidFill>
          </w14:textFill>
        </w:rPr>
        <w:t>7</w:t>
      </w:r>
      <w:r>
        <w:rPr>
          <w:rFonts w:ascii="黑体" w:hAnsi="黑体" w:eastAsia="黑体"/>
          <w:bCs/>
          <w:color w:val="0D0D0D" w:themeColor="text1" w:themeTint="F2"/>
          <w:szCs w:val="21"/>
          <w14:textFill>
            <w14:solidFill>
              <w14:schemeClr w14:val="tx1">
                <w14:lumMod w14:val="95000"/>
                <w14:lumOff w14:val="5000"/>
              </w14:schemeClr>
            </w14:solidFill>
          </w14:textFill>
        </w:rPr>
        <w:t>.2</w:t>
      </w:r>
      <w:r>
        <w:rPr>
          <w:rFonts w:hint="eastAsia" w:eastAsiaTheme="minorEastAsia"/>
        </w:rPr>
        <w:t>效果监测时间应从完成措施实施后第二年开始，每2～4年开展一期完整年度不同季节的评估，以全面掌握土壤保育和碳氮减排措施效果，并提出必要的改进措施。</w:t>
      </w:r>
    </w:p>
    <w:bookmarkEnd w:id="35"/>
    <w:p w14:paraId="72F4C352">
      <w:pPr>
        <w:spacing w:before="240" w:after="240" w:line="276" w:lineRule="auto"/>
        <w:ind w:firstLine="0"/>
        <w:jc w:val="center"/>
        <w:outlineLvl w:val="0"/>
        <w:rPr>
          <w:rFonts w:eastAsia="黑体"/>
          <w:bCs/>
          <w:color w:val="0D0D0D" w:themeColor="text1" w:themeTint="F2"/>
          <w14:textFill>
            <w14:solidFill>
              <w14:schemeClr w14:val="tx1">
                <w14:lumMod w14:val="95000"/>
                <w14:lumOff w14:val="5000"/>
              </w14:schemeClr>
            </w14:solidFill>
          </w14:textFill>
        </w:rPr>
        <w:sectPr>
          <w:footerReference r:id="rId10" w:type="default"/>
          <w:pgSz w:w="11906" w:h="16838"/>
          <w:pgMar w:top="567" w:right="1134" w:bottom="1134" w:left="1418" w:header="1418" w:footer="1134" w:gutter="0"/>
          <w:pgNumType w:start="1"/>
          <w:cols w:space="425" w:num="1"/>
          <w:formProt w:val="0"/>
          <w:docGrid w:type="lines" w:linePitch="312" w:charSpace="0"/>
        </w:sectPr>
      </w:pPr>
    </w:p>
    <w:p w14:paraId="219303B7">
      <w:pPr>
        <w:spacing w:before="240" w:after="240" w:line="276" w:lineRule="auto"/>
        <w:ind w:firstLine="0"/>
        <w:jc w:val="center"/>
        <w:outlineLvl w:val="0"/>
        <w:rPr>
          <w:rFonts w:eastAsia="黑体"/>
          <w:bCs/>
          <w:color w:val="0D0D0D" w:themeColor="text1" w:themeTint="F2"/>
          <w14:textFill>
            <w14:solidFill>
              <w14:schemeClr w14:val="tx1">
                <w14:lumMod w14:val="95000"/>
                <w14:lumOff w14:val="5000"/>
              </w14:schemeClr>
            </w14:solidFill>
          </w14:textFill>
        </w:rPr>
      </w:pPr>
      <w:r>
        <w:rPr>
          <w:rFonts w:eastAsia="黑体"/>
          <w:bCs/>
          <w:color w:val="0D0D0D" w:themeColor="text1" w:themeTint="F2"/>
          <w14:textFill>
            <w14:solidFill>
              <w14:schemeClr w14:val="tx1">
                <w14:lumMod w14:val="95000"/>
                <w14:lumOff w14:val="5000"/>
              </w14:schemeClr>
            </w14:solidFill>
          </w14:textFill>
        </w:rPr>
        <w:t>附录</w:t>
      </w:r>
      <w:r>
        <w:rPr>
          <w:rFonts w:hint="eastAsia" w:eastAsia="黑体"/>
          <w:bCs/>
          <w:color w:val="0D0D0D" w:themeColor="text1" w:themeTint="F2"/>
          <w14:textFill>
            <w14:solidFill>
              <w14:schemeClr w14:val="tx1">
                <w14:lumMod w14:val="95000"/>
                <w14:lumOff w14:val="5000"/>
              </w14:schemeClr>
            </w14:solidFill>
          </w14:textFill>
        </w:rPr>
        <w:t>A</w:t>
      </w:r>
    </w:p>
    <w:p w14:paraId="20024352">
      <w:pPr>
        <w:spacing w:line="360" w:lineRule="auto"/>
        <w:ind w:firstLine="0"/>
        <w:jc w:val="center"/>
        <w:rPr>
          <w:rFonts w:eastAsia="黑体"/>
          <w:b/>
          <w:color w:val="0D0D0D" w:themeColor="text1" w:themeTint="F2"/>
          <w:szCs w:val="24"/>
          <w14:textFill>
            <w14:solidFill>
              <w14:schemeClr w14:val="tx1">
                <w14:lumMod w14:val="95000"/>
                <w14:lumOff w14:val="5000"/>
              </w14:schemeClr>
            </w14:solidFill>
          </w14:textFill>
        </w:rPr>
      </w:pPr>
      <w:r>
        <w:rPr>
          <w:rFonts w:eastAsia="黑体"/>
          <w:b/>
          <w:color w:val="0D0D0D" w:themeColor="text1" w:themeTint="F2"/>
          <w:szCs w:val="24"/>
          <w14:textFill>
            <w14:solidFill>
              <w14:schemeClr w14:val="tx1">
                <w14:lumMod w14:val="95000"/>
                <w14:lumOff w14:val="5000"/>
              </w14:schemeClr>
            </w14:solidFill>
          </w14:textFill>
        </w:rPr>
        <w:t>（资料性）</w:t>
      </w:r>
    </w:p>
    <w:p w14:paraId="11DD7157">
      <w:pPr>
        <w:spacing w:line="360" w:lineRule="auto"/>
        <w:ind w:firstLine="0"/>
        <w:jc w:val="center"/>
        <w:rPr>
          <w:rFonts w:eastAsia="黑体"/>
          <w:b/>
          <w:color w:val="0D0D0D" w:themeColor="text1" w:themeTint="F2"/>
          <w:szCs w:val="24"/>
          <w14:textFill>
            <w14:solidFill>
              <w14:schemeClr w14:val="tx1">
                <w14:lumMod w14:val="95000"/>
                <w14:lumOff w14:val="5000"/>
              </w14:schemeClr>
            </w14:solidFill>
          </w14:textFill>
        </w:rPr>
      </w:pPr>
      <w:r>
        <w:rPr>
          <w:rFonts w:hint="eastAsia" w:eastAsia="黑体"/>
          <w:b/>
          <w:color w:val="0D0D0D" w:themeColor="text1" w:themeTint="F2"/>
          <w:szCs w:val="24"/>
          <w14:textFill>
            <w14:solidFill>
              <w14:schemeClr w14:val="tx1">
                <w14:lumMod w14:val="95000"/>
                <w14:lumOff w14:val="5000"/>
              </w14:schemeClr>
            </w14:solidFill>
          </w14:textFill>
        </w:rPr>
        <w:t>冬季豆科绿肥种类</w:t>
      </w:r>
    </w:p>
    <w:p w14:paraId="7751D432">
      <w:pPr>
        <w:spacing w:line="360" w:lineRule="auto"/>
        <w:ind w:firstLine="0"/>
        <w:jc w:val="center"/>
        <w:rPr>
          <w:rFonts w:eastAsia="黑体"/>
          <w:b/>
          <w:color w:val="0D0D0D" w:themeColor="text1" w:themeTint="F2"/>
          <w:szCs w:val="24"/>
          <w14:textFill>
            <w14:solidFill>
              <w14:schemeClr w14:val="tx1">
                <w14:lumMod w14:val="95000"/>
                <w14:lumOff w14:val="5000"/>
              </w14:schemeClr>
            </w14:solidFill>
          </w14:textFill>
        </w:rPr>
      </w:pPr>
    </w:p>
    <w:p w14:paraId="194667D8">
      <w:pPr>
        <w:pStyle w:val="19"/>
        <w:rPr>
          <w:rFonts w:eastAsia="黑体"/>
          <w:b/>
          <w:color w:val="0D0D0D" w:themeColor="text1" w:themeTint="F2"/>
          <w:szCs w:val="24"/>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表A</w:t>
      </w:r>
      <w:r>
        <w:rPr>
          <w:color w:val="0D0D0D" w:themeColor="text1" w:themeTint="F2"/>
          <w14:textFill>
            <w14:solidFill>
              <w14:schemeClr w14:val="tx1">
                <w14:lumMod w14:val="95000"/>
                <w14:lumOff w14:val="5000"/>
              </w14:schemeClr>
            </w14:solidFill>
          </w14:textFill>
        </w:rPr>
        <w:t xml:space="preserve">.1 </w:t>
      </w:r>
      <w:r>
        <w:rPr>
          <w:rFonts w:hint="eastAsia"/>
          <w:color w:val="0D0D0D" w:themeColor="text1" w:themeTint="F2"/>
          <w14:textFill>
            <w14:solidFill>
              <w14:schemeClr w14:val="tx1">
                <w14:lumMod w14:val="95000"/>
                <w14:lumOff w14:val="5000"/>
              </w14:schemeClr>
            </w14:solidFill>
          </w14:textFill>
        </w:rPr>
        <w:t>给出了冬季豆科绿肥种类。</w:t>
      </w:r>
    </w:p>
    <w:p w14:paraId="3D0A8FAD">
      <w:pPr>
        <w:pStyle w:val="19"/>
        <w:spacing w:before="312" w:beforeLines="100" w:after="312" w:afterLines="100"/>
        <w:jc w:val="center"/>
        <w:rPr>
          <w:rFonts w:ascii="黑体" w:hAnsi="黑体" w:eastAsia="黑体" w:cs="黑体"/>
          <w:color w:val="0D0D0D" w:themeColor="text1" w:themeTint="F2"/>
          <w14:textFill>
            <w14:solidFill>
              <w14:schemeClr w14:val="tx1">
                <w14:lumMod w14:val="95000"/>
                <w14:lumOff w14:val="5000"/>
              </w14:schemeClr>
            </w14:solidFill>
          </w14:textFill>
        </w:rPr>
      </w:pPr>
      <w:r>
        <w:rPr>
          <w:rFonts w:hint="eastAsia" w:ascii="黑体" w:hAnsi="黑体" w:eastAsia="黑体" w:cs="黑体"/>
          <w:color w:val="0D0D0D" w:themeColor="text1" w:themeTint="F2"/>
          <w14:textFill>
            <w14:solidFill>
              <w14:schemeClr w14:val="tx1">
                <w14:lumMod w14:val="95000"/>
                <w14:lumOff w14:val="5000"/>
              </w14:schemeClr>
            </w14:solidFill>
          </w14:textFill>
        </w:rPr>
        <w:t>表A</w:t>
      </w:r>
      <w:r>
        <w:rPr>
          <w:rFonts w:ascii="黑体" w:hAnsi="黑体" w:eastAsia="黑体" w:cs="黑体"/>
          <w:color w:val="0D0D0D" w:themeColor="text1" w:themeTint="F2"/>
          <w14:textFill>
            <w14:solidFill>
              <w14:schemeClr w14:val="tx1">
                <w14:lumMod w14:val="95000"/>
                <w14:lumOff w14:val="5000"/>
              </w14:schemeClr>
            </w14:solidFill>
          </w14:textFill>
        </w:rPr>
        <w:t xml:space="preserve">.1 </w:t>
      </w:r>
      <w:r>
        <w:rPr>
          <w:rFonts w:hint="eastAsia" w:ascii="黑体" w:hAnsi="黑体" w:eastAsia="黑体" w:cs="黑体"/>
          <w:color w:val="0D0D0D" w:themeColor="text1" w:themeTint="F2"/>
          <w14:textFill>
            <w14:solidFill>
              <w14:schemeClr w14:val="tx1">
                <w14:lumMod w14:val="95000"/>
                <w14:lumOff w14:val="5000"/>
              </w14:schemeClr>
            </w14:solidFill>
          </w14:textFill>
        </w:rPr>
        <w:t>冬季豆科绿肥种类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073"/>
      </w:tblGrid>
      <w:tr w14:paraId="44FB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5" w:hRule="atLeast"/>
        </w:trPr>
        <w:tc>
          <w:tcPr>
            <w:tcW w:w="1271" w:type="dxa"/>
            <w:vAlign w:val="center"/>
          </w:tcPr>
          <w:p w14:paraId="5936C141">
            <w:pPr>
              <w:ind w:firstLine="0"/>
              <w:jc w:val="center"/>
            </w:pPr>
            <w:r>
              <w:rPr>
                <w:rFonts w:hint="eastAsia"/>
              </w:rPr>
              <w:t>豆科绿肥</w:t>
            </w:r>
          </w:p>
        </w:tc>
        <w:tc>
          <w:tcPr>
            <w:tcW w:w="8073" w:type="dxa"/>
            <w:vAlign w:val="center"/>
          </w:tcPr>
          <w:p w14:paraId="24A0B98D">
            <w:pPr>
              <w:ind w:firstLine="0"/>
            </w:pPr>
            <w:r>
              <w:rPr>
                <w:rFonts w:hint="eastAsia"/>
              </w:rPr>
              <w:t>紫云英（</w:t>
            </w:r>
            <w:r>
              <w:rPr>
                <w:rFonts w:hint="eastAsia"/>
                <w:i/>
                <w:iCs/>
              </w:rPr>
              <w:t>Astragulus sinicus</w:t>
            </w:r>
            <w:r>
              <w:rPr>
                <w:rFonts w:hint="eastAsia"/>
              </w:rPr>
              <w:t xml:space="preserve"> </w:t>
            </w:r>
            <w:r>
              <w:t>L.</w:t>
            </w:r>
            <w:r>
              <w:rPr>
                <w:rFonts w:hint="eastAsia"/>
              </w:rPr>
              <w:t>）、毛叶苕子（</w:t>
            </w:r>
            <w:r>
              <w:rPr>
                <w:rFonts w:hint="eastAsia"/>
                <w:i/>
                <w:iCs/>
              </w:rPr>
              <w:t>Vicia villosa</w:t>
            </w:r>
            <w:r>
              <w:rPr>
                <w:rFonts w:hint="eastAsia"/>
              </w:rPr>
              <w:t xml:space="preserve"> Roth）、光叶苕子（</w:t>
            </w:r>
            <w:r>
              <w:rPr>
                <w:rFonts w:hint="eastAsia"/>
                <w:i/>
                <w:iCs/>
              </w:rPr>
              <w:t>Vicia villosa wr</w:t>
            </w:r>
            <w:r>
              <w:rPr>
                <w:rFonts w:hint="eastAsia"/>
              </w:rPr>
              <w:t>.</w:t>
            </w:r>
            <w:r>
              <w:t xml:space="preserve"> </w:t>
            </w:r>
            <w:r>
              <w:rPr>
                <w:rFonts w:hint="eastAsia"/>
              </w:rPr>
              <w:t>Roth）、蚕豆（</w:t>
            </w:r>
            <w:r>
              <w:rPr>
                <w:rFonts w:hint="eastAsia"/>
                <w:i/>
                <w:iCs/>
              </w:rPr>
              <w:t>Vicia faba</w:t>
            </w:r>
            <w:r>
              <w:rPr>
                <w:rFonts w:hint="eastAsia"/>
              </w:rPr>
              <w:t xml:space="preserve"> L.）、箭筈豌豆（</w:t>
            </w:r>
            <w:r>
              <w:rPr>
                <w:i/>
                <w:iCs/>
              </w:rPr>
              <w:t>Vicia sativa</w:t>
            </w:r>
            <w:r>
              <w:t xml:space="preserve"> L.</w:t>
            </w:r>
            <w:r>
              <w:rPr>
                <w:rFonts w:hint="eastAsia"/>
              </w:rPr>
              <w:t>）、蚕豆（</w:t>
            </w:r>
            <w:r>
              <w:rPr>
                <w:rFonts w:hint="eastAsia"/>
                <w:i/>
                <w:iCs/>
              </w:rPr>
              <w:t>Vicia faba</w:t>
            </w:r>
            <w:r>
              <w:rPr>
                <w:rFonts w:hint="eastAsia"/>
              </w:rPr>
              <w:t xml:space="preserve"> L</w:t>
            </w:r>
            <w:r>
              <w:t>.</w:t>
            </w:r>
            <w:r>
              <w:rPr>
                <w:rFonts w:hint="eastAsia"/>
              </w:rPr>
              <w:t>）、山豆（</w:t>
            </w:r>
            <w:r>
              <w:rPr>
                <w:i/>
                <w:iCs/>
              </w:rPr>
              <w:t>Lathyrus quinquenervius</w:t>
            </w:r>
            <w:r>
              <w:t xml:space="preserve"> L.</w:t>
            </w:r>
            <w:r>
              <w:rPr>
                <w:rFonts w:hint="eastAsia"/>
              </w:rPr>
              <w:t>）、黄花苜蓿（</w:t>
            </w:r>
            <w:r>
              <w:rPr>
                <w:rFonts w:hint="eastAsia"/>
                <w:i/>
                <w:iCs/>
              </w:rPr>
              <w:t>Medicago polymorpha</w:t>
            </w:r>
            <w:r>
              <w:rPr>
                <w:rFonts w:hint="eastAsia"/>
              </w:rPr>
              <w:t xml:space="preserve"> </w:t>
            </w:r>
            <w:r>
              <w:t>L.</w:t>
            </w:r>
            <w:r>
              <w:rPr>
                <w:rFonts w:hint="eastAsia"/>
              </w:rPr>
              <w:t>）等</w:t>
            </w:r>
          </w:p>
        </w:tc>
      </w:tr>
    </w:tbl>
    <w:p w14:paraId="6E7C0084">
      <w:pPr>
        <w:ind w:firstLine="0"/>
      </w:pPr>
    </w:p>
    <w:p w14:paraId="262CAFA8">
      <w:pPr>
        <w:pStyle w:val="19"/>
        <w:ind w:firstLine="420" w:firstLineChars="200"/>
        <w:rPr>
          <w:color w:val="0D0D0D" w:themeColor="text1" w:themeTint="F2"/>
          <w14:textFill>
            <w14:solidFill>
              <w14:schemeClr w14:val="tx1">
                <w14:lumMod w14:val="95000"/>
                <w14:lumOff w14:val="5000"/>
              </w14:schemeClr>
            </w14:solidFill>
          </w14:textFill>
        </w:rPr>
      </w:pPr>
    </w:p>
    <w:p w14:paraId="1B5B827F">
      <w:pPr>
        <w:spacing w:before="240" w:after="240" w:line="276" w:lineRule="auto"/>
        <w:ind w:firstLine="0"/>
        <w:outlineLvl w:val="0"/>
        <w:rPr>
          <w:rFonts w:eastAsia="黑体"/>
          <w:bCs/>
          <w:color w:val="0D0D0D" w:themeColor="text1" w:themeTint="F2"/>
          <w14:textFill>
            <w14:solidFill>
              <w14:schemeClr w14:val="tx1">
                <w14:lumMod w14:val="95000"/>
                <w14:lumOff w14:val="5000"/>
              </w14:schemeClr>
            </w14:solidFill>
          </w14:textFill>
        </w:rPr>
        <w:sectPr>
          <w:pgSz w:w="11906" w:h="16838"/>
          <w:pgMar w:top="567" w:right="1134" w:bottom="1134" w:left="1418" w:header="1418" w:footer="1134" w:gutter="0"/>
          <w:pgNumType w:start="1"/>
          <w:cols w:space="425" w:num="1"/>
          <w:formProt w:val="0"/>
          <w:docGrid w:type="lines" w:linePitch="312" w:charSpace="0"/>
        </w:sectPr>
      </w:pPr>
    </w:p>
    <w:p w14:paraId="06710C43">
      <w:pPr>
        <w:spacing w:before="156" w:after="156" w:line="276" w:lineRule="auto"/>
        <w:ind w:firstLine="0"/>
        <w:jc w:val="center"/>
        <w:outlineLvl w:val="0"/>
        <w:rPr>
          <w:rFonts w:eastAsia="黑体"/>
          <w:bCs/>
          <w:color w:val="000000" w:themeColor="text1"/>
          <w14:textFill>
            <w14:solidFill>
              <w14:schemeClr w14:val="tx1"/>
            </w14:solidFill>
          </w14:textFill>
        </w:rPr>
      </w:pPr>
      <w:r>
        <w:rPr>
          <w:rFonts w:eastAsia="黑体"/>
          <w:bCs/>
          <w:color w:val="000000" w:themeColor="text1"/>
          <w14:textFill>
            <w14:solidFill>
              <w14:schemeClr w14:val="tx1"/>
            </w14:solidFill>
          </w14:textFill>
        </w:rPr>
        <w:t>附录</w:t>
      </w:r>
      <w:r>
        <w:rPr>
          <w:rFonts w:hint="eastAsia" w:eastAsia="黑体"/>
          <w:bCs/>
          <w:color w:val="000000" w:themeColor="text1"/>
          <w14:textFill>
            <w14:solidFill>
              <w14:schemeClr w14:val="tx1"/>
            </w14:solidFill>
          </w14:textFill>
        </w:rPr>
        <w:t>B</w:t>
      </w:r>
    </w:p>
    <w:p w14:paraId="39F02043">
      <w:pPr>
        <w:spacing w:line="360" w:lineRule="auto"/>
        <w:ind w:firstLine="0"/>
        <w:jc w:val="center"/>
        <w:rPr>
          <w:rFonts w:eastAsia="黑体"/>
          <w:b/>
          <w:color w:val="000000" w:themeColor="text1"/>
          <w:szCs w:val="24"/>
          <w14:textFill>
            <w14:solidFill>
              <w14:schemeClr w14:val="tx1"/>
            </w14:solidFill>
          </w14:textFill>
        </w:rPr>
      </w:pPr>
      <w:r>
        <w:rPr>
          <w:rFonts w:eastAsia="黑体"/>
          <w:b/>
          <w:color w:val="000000" w:themeColor="text1"/>
          <w:szCs w:val="24"/>
          <w14:textFill>
            <w14:solidFill>
              <w14:schemeClr w14:val="tx1"/>
            </w14:solidFill>
          </w14:textFill>
        </w:rPr>
        <w:t>（资料性）</w:t>
      </w:r>
    </w:p>
    <w:p w14:paraId="79FEB191">
      <w:pPr>
        <w:spacing w:line="360" w:lineRule="auto"/>
        <w:ind w:firstLine="0"/>
        <w:jc w:val="center"/>
        <w:rPr>
          <w:rFonts w:eastAsia="黑体"/>
          <w:b/>
          <w:color w:val="000000" w:themeColor="text1"/>
          <w:szCs w:val="24"/>
          <w14:textFill>
            <w14:solidFill>
              <w14:schemeClr w14:val="tx1"/>
            </w14:solidFill>
          </w14:textFill>
        </w:rPr>
      </w:pPr>
      <w:r>
        <w:rPr>
          <w:rFonts w:hint="eastAsia" w:eastAsia="黑体"/>
          <w:b/>
          <w:color w:val="000000" w:themeColor="text1"/>
          <w:szCs w:val="24"/>
          <w14:textFill>
            <w14:solidFill>
              <w14:schemeClr w14:val="tx1"/>
            </w14:solidFill>
          </w14:textFill>
        </w:rPr>
        <w:t>风险期水分调控目标及灌溉管理推荐值</w:t>
      </w:r>
    </w:p>
    <w:p w14:paraId="3AEEF61F">
      <w:pPr>
        <w:pStyle w:val="19"/>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表B</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给出了风险期水分调控目标及灌溉管理推荐值。</w:t>
      </w:r>
    </w:p>
    <w:p w14:paraId="162B647F">
      <w:pPr>
        <w:pStyle w:val="19"/>
        <w:spacing w:before="312" w:beforeLines="100" w:after="312" w:afterLines="100"/>
        <w:ind w:firstLine="0"/>
        <w:jc w:val="center"/>
        <w:rPr>
          <w:rFonts w:ascii="黑体" w:hAnsi="黑体" w:eastAsia="黑体" w:cs="黑体"/>
          <w:color w:val="000000" w:themeColor="text1"/>
          <w14:textFill>
            <w14:solidFill>
              <w14:schemeClr w14:val="tx1"/>
            </w14:solidFill>
          </w14:textFill>
        </w:rPr>
      </w:pPr>
      <w:bookmarkStart w:id="37" w:name="_Hlk175256761"/>
      <w:r>
        <w:rPr>
          <w:rFonts w:hint="eastAsia" w:ascii="黑体" w:hAnsi="黑体" w:eastAsia="黑体" w:cs="黑体"/>
          <w:color w:val="000000" w:themeColor="text1"/>
          <w14:textFill>
            <w14:solidFill>
              <w14:schemeClr w14:val="tx1"/>
            </w14:solidFill>
          </w14:textFill>
        </w:rPr>
        <w:t>表B</w:t>
      </w:r>
      <w:r>
        <w:rPr>
          <w:rFonts w:ascii="黑体" w:hAnsi="黑体" w:eastAsia="黑体" w:cs="黑体"/>
          <w:color w:val="000000" w:themeColor="text1"/>
          <w14:textFill>
            <w14:solidFill>
              <w14:schemeClr w14:val="tx1"/>
            </w14:solidFill>
          </w14:textFill>
        </w:rPr>
        <w:t xml:space="preserve">.1 </w:t>
      </w:r>
      <w:bookmarkStart w:id="38" w:name="_Hlk165972935"/>
      <w:r>
        <w:rPr>
          <w:rFonts w:hint="eastAsia" w:ascii="黑体" w:hAnsi="黑体" w:eastAsia="黑体" w:cs="黑体"/>
          <w:color w:val="000000" w:themeColor="text1"/>
          <w14:textFill>
            <w14:solidFill>
              <w14:schemeClr w14:val="tx1"/>
            </w14:solidFill>
          </w14:textFill>
        </w:rPr>
        <w:t>风险期水分调控目标及灌溉管理推荐值</w:t>
      </w:r>
      <w:bookmarkEnd w:id="38"/>
      <w:bookmarkStart w:id="39" w:name="_Hlk165972924"/>
    </w:p>
    <w:bookmarkEnd w:id="37"/>
    <w:bookmarkEnd w:id="39"/>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
        <w:gridCol w:w="992"/>
        <w:gridCol w:w="1048"/>
        <w:gridCol w:w="1012"/>
        <w:gridCol w:w="1068"/>
        <w:gridCol w:w="1031"/>
        <w:gridCol w:w="863"/>
        <w:gridCol w:w="952"/>
        <w:gridCol w:w="1022"/>
      </w:tblGrid>
      <w:tr w14:paraId="2D7D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534" w:type="dxa"/>
            <w:vMerge w:val="restart"/>
            <w:tcBorders>
              <w:top w:val="single" w:color="auto" w:sz="4" w:space="0"/>
              <w:left w:val="single" w:color="auto" w:sz="4" w:space="0"/>
              <w:right w:val="single" w:color="auto" w:sz="4" w:space="0"/>
            </w:tcBorders>
            <w:vAlign w:val="center"/>
          </w:tcPr>
          <w:p w14:paraId="3793A11A">
            <w:pPr>
              <w:spacing w:line="240" w:lineRule="auto"/>
              <w:ind w:firstLine="0"/>
              <w:jc w:val="center"/>
              <w:rPr>
                <w:color w:val="000000"/>
                <w:sz w:val="18"/>
                <w:szCs w:val="18"/>
              </w:rPr>
            </w:pPr>
            <w:bookmarkStart w:id="40" w:name="_Hlk170563772"/>
            <w:r>
              <w:rPr>
                <w:color w:val="000000"/>
                <w:sz w:val="18"/>
                <w:szCs w:val="18"/>
              </w:rPr>
              <w:t>种植季</w:t>
            </w:r>
          </w:p>
        </w:tc>
        <w:tc>
          <w:tcPr>
            <w:tcW w:w="992" w:type="dxa"/>
            <w:tcBorders>
              <w:top w:val="single" w:color="auto" w:sz="4" w:space="0"/>
              <w:left w:val="single" w:color="auto" w:sz="4" w:space="0"/>
              <w:right w:val="single" w:color="auto" w:sz="4" w:space="0"/>
            </w:tcBorders>
            <w:vAlign w:val="center"/>
          </w:tcPr>
          <w:p w14:paraId="35984607">
            <w:pPr>
              <w:spacing w:line="240" w:lineRule="auto"/>
              <w:ind w:firstLine="0"/>
              <w:jc w:val="center"/>
              <w:rPr>
                <w:color w:val="000000"/>
                <w:sz w:val="18"/>
                <w:szCs w:val="18"/>
              </w:rPr>
            </w:pPr>
            <w:r>
              <w:rPr>
                <w:rFonts w:hint="eastAsia"/>
                <w:color w:val="000000"/>
                <w:sz w:val="18"/>
                <w:szCs w:val="18"/>
              </w:rPr>
              <w:t>种植作物</w:t>
            </w:r>
          </w:p>
        </w:tc>
        <w:tc>
          <w:tcPr>
            <w:tcW w:w="1048" w:type="dxa"/>
            <w:vMerge w:val="restart"/>
            <w:tcBorders>
              <w:top w:val="single" w:color="auto" w:sz="4" w:space="0"/>
              <w:left w:val="single" w:color="auto" w:sz="4" w:space="0"/>
              <w:right w:val="single" w:color="auto" w:sz="4" w:space="0"/>
            </w:tcBorders>
            <w:vAlign w:val="center"/>
          </w:tcPr>
          <w:p w14:paraId="2DC33D61">
            <w:pPr>
              <w:spacing w:line="240" w:lineRule="auto"/>
              <w:ind w:firstLine="0"/>
              <w:jc w:val="center"/>
              <w:rPr>
                <w:color w:val="000000"/>
                <w:sz w:val="18"/>
                <w:szCs w:val="18"/>
              </w:rPr>
            </w:pPr>
            <w:r>
              <w:rPr>
                <w:rFonts w:hint="eastAsia"/>
                <w:color w:val="000000"/>
                <w:sz w:val="18"/>
                <w:szCs w:val="18"/>
              </w:rPr>
              <w:t>时期</w:t>
            </w:r>
          </w:p>
        </w:tc>
        <w:tc>
          <w:tcPr>
            <w:tcW w:w="1012" w:type="dxa"/>
            <w:vMerge w:val="restart"/>
            <w:tcBorders>
              <w:top w:val="single" w:color="auto" w:sz="4" w:space="0"/>
              <w:left w:val="single" w:color="auto" w:sz="4" w:space="0"/>
              <w:right w:val="single" w:color="auto" w:sz="4" w:space="0"/>
            </w:tcBorders>
            <w:vAlign w:val="center"/>
          </w:tcPr>
          <w:p w14:paraId="36168CFA">
            <w:pPr>
              <w:spacing w:line="240" w:lineRule="auto"/>
              <w:ind w:firstLine="0"/>
              <w:jc w:val="center"/>
              <w:rPr>
                <w:color w:val="000000"/>
                <w:sz w:val="18"/>
                <w:szCs w:val="18"/>
              </w:rPr>
            </w:pPr>
            <w:r>
              <w:rPr>
                <w:rFonts w:hint="eastAsia"/>
                <w:color w:val="000000"/>
                <w:sz w:val="18"/>
                <w:szCs w:val="18"/>
              </w:rPr>
              <w:t>灌溉下限</w:t>
            </w:r>
          </w:p>
        </w:tc>
        <w:tc>
          <w:tcPr>
            <w:tcW w:w="1068" w:type="dxa"/>
            <w:vMerge w:val="restart"/>
            <w:tcBorders>
              <w:top w:val="single" w:color="auto" w:sz="4" w:space="0"/>
              <w:left w:val="single" w:color="auto" w:sz="4" w:space="0"/>
              <w:right w:val="single" w:color="auto" w:sz="4" w:space="0"/>
            </w:tcBorders>
            <w:vAlign w:val="center"/>
          </w:tcPr>
          <w:p w14:paraId="1A2B2B63">
            <w:pPr>
              <w:spacing w:line="240" w:lineRule="auto"/>
              <w:ind w:firstLine="0"/>
              <w:jc w:val="center"/>
              <w:rPr>
                <w:color w:val="000000"/>
                <w:sz w:val="18"/>
                <w:szCs w:val="18"/>
              </w:rPr>
            </w:pPr>
            <w:r>
              <w:rPr>
                <w:rFonts w:hint="eastAsia"/>
                <w:color w:val="000000"/>
                <w:sz w:val="18"/>
                <w:szCs w:val="18"/>
              </w:rPr>
              <w:t>灌溉上限范围</w:t>
            </w:r>
          </w:p>
        </w:tc>
        <w:tc>
          <w:tcPr>
            <w:tcW w:w="1031" w:type="dxa"/>
            <w:vMerge w:val="restart"/>
            <w:tcBorders>
              <w:top w:val="single" w:color="auto" w:sz="4" w:space="0"/>
              <w:left w:val="single" w:color="auto" w:sz="4" w:space="0"/>
              <w:right w:val="single" w:color="auto" w:sz="4" w:space="0"/>
            </w:tcBorders>
            <w:vAlign w:val="center"/>
          </w:tcPr>
          <w:p w14:paraId="052C4345">
            <w:pPr>
              <w:spacing w:line="240" w:lineRule="auto"/>
              <w:ind w:firstLine="0"/>
              <w:jc w:val="center"/>
              <w:rPr>
                <w:color w:val="000000"/>
                <w:sz w:val="18"/>
                <w:szCs w:val="18"/>
              </w:rPr>
            </w:pPr>
            <w:r>
              <w:rPr>
                <w:rFonts w:hint="eastAsia"/>
                <w:color w:val="000000"/>
                <w:sz w:val="18"/>
                <w:szCs w:val="18"/>
              </w:rPr>
              <w:t xml:space="preserve">单次灌溉水量 </w:t>
            </w:r>
            <w:r>
              <w:rPr>
                <w:color w:val="000000"/>
                <w:sz w:val="18"/>
                <w:szCs w:val="18"/>
              </w:rPr>
              <w:t>m</w:t>
            </w:r>
            <w:r>
              <w:rPr>
                <w:color w:val="000000"/>
                <w:sz w:val="18"/>
                <w:szCs w:val="18"/>
                <w:vertAlign w:val="superscript"/>
              </w:rPr>
              <w:t>3</w:t>
            </w:r>
            <w:r>
              <w:rPr>
                <w:color w:val="000000"/>
                <w:sz w:val="18"/>
                <w:szCs w:val="18"/>
              </w:rPr>
              <w:t>·667m</w:t>
            </w:r>
            <w:r>
              <w:rPr>
                <w:rFonts w:hint="eastAsia"/>
                <w:color w:val="000000"/>
                <w:sz w:val="18"/>
                <w:szCs w:val="18"/>
                <w:vertAlign w:val="superscript"/>
              </w:rPr>
              <w:t>-</w:t>
            </w:r>
            <w:r>
              <w:rPr>
                <w:color w:val="000000"/>
                <w:sz w:val="18"/>
                <w:szCs w:val="18"/>
                <w:vertAlign w:val="superscript"/>
              </w:rPr>
              <w:t>2</w:t>
            </w:r>
          </w:p>
        </w:tc>
        <w:tc>
          <w:tcPr>
            <w:tcW w:w="2837" w:type="dxa"/>
            <w:gridSpan w:val="3"/>
            <w:tcBorders>
              <w:top w:val="single" w:color="auto" w:sz="4" w:space="0"/>
              <w:left w:val="single" w:color="auto" w:sz="4" w:space="0"/>
              <w:bottom w:val="single" w:color="auto" w:sz="4" w:space="0"/>
              <w:right w:val="single" w:color="auto" w:sz="4" w:space="0"/>
            </w:tcBorders>
            <w:vAlign w:val="center"/>
          </w:tcPr>
          <w:p w14:paraId="0E1D5A6D">
            <w:pPr>
              <w:spacing w:line="240" w:lineRule="auto"/>
              <w:ind w:firstLine="0"/>
              <w:jc w:val="center"/>
              <w:rPr>
                <w:color w:val="000000"/>
                <w:sz w:val="18"/>
                <w:szCs w:val="18"/>
              </w:rPr>
            </w:pPr>
            <w:r>
              <w:rPr>
                <w:rFonts w:hint="eastAsia"/>
                <w:color w:val="000000"/>
                <w:sz w:val="18"/>
                <w:szCs w:val="18"/>
              </w:rPr>
              <w:t>灌溉间隔</w:t>
            </w:r>
          </w:p>
          <w:p w14:paraId="1722CF75">
            <w:pPr>
              <w:spacing w:line="240" w:lineRule="auto"/>
              <w:ind w:firstLine="0"/>
              <w:jc w:val="center"/>
              <w:rPr>
                <w:color w:val="000000"/>
                <w:sz w:val="18"/>
                <w:szCs w:val="18"/>
              </w:rPr>
            </w:pPr>
            <w:r>
              <w:rPr>
                <w:rFonts w:hint="eastAsia"/>
                <w:color w:val="000000"/>
                <w:sz w:val="18"/>
                <w:szCs w:val="18"/>
              </w:rPr>
              <w:t>时长（</w:t>
            </w:r>
            <w:r>
              <w:rPr>
                <w:color w:val="000000"/>
                <w:sz w:val="18"/>
                <w:szCs w:val="18"/>
              </w:rPr>
              <w:t>d</w:t>
            </w:r>
            <w:r>
              <w:rPr>
                <w:rFonts w:hint="eastAsia"/>
                <w:color w:val="000000"/>
                <w:sz w:val="18"/>
                <w:szCs w:val="18"/>
              </w:rPr>
              <w:t>）</w:t>
            </w:r>
          </w:p>
        </w:tc>
      </w:tr>
      <w:tr w14:paraId="62F3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34" w:type="dxa"/>
            <w:vMerge w:val="continue"/>
            <w:tcBorders>
              <w:left w:val="single" w:color="auto" w:sz="4" w:space="0"/>
              <w:bottom w:val="single" w:color="auto" w:sz="4" w:space="0"/>
              <w:right w:val="single" w:color="auto" w:sz="4" w:space="0"/>
            </w:tcBorders>
            <w:vAlign w:val="center"/>
          </w:tcPr>
          <w:p w14:paraId="4133F80D">
            <w:pPr>
              <w:spacing w:line="240" w:lineRule="auto"/>
              <w:ind w:firstLine="0"/>
              <w:jc w:val="center"/>
              <w:rPr>
                <w:color w:val="000000"/>
                <w:sz w:val="18"/>
                <w:szCs w:val="18"/>
              </w:rPr>
            </w:pPr>
          </w:p>
        </w:tc>
        <w:tc>
          <w:tcPr>
            <w:tcW w:w="992" w:type="dxa"/>
            <w:tcBorders>
              <w:left w:val="single" w:color="auto" w:sz="4" w:space="0"/>
              <w:bottom w:val="single" w:color="auto" w:sz="4" w:space="0"/>
              <w:right w:val="single" w:color="auto" w:sz="4" w:space="0"/>
            </w:tcBorders>
            <w:vAlign w:val="center"/>
          </w:tcPr>
          <w:p w14:paraId="01BFF221">
            <w:pPr>
              <w:spacing w:line="240" w:lineRule="auto"/>
              <w:ind w:firstLine="0"/>
              <w:rPr>
                <w:color w:val="000000"/>
                <w:sz w:val="18"/>
                <w:szCs w:val="18"/>
              </w:rPr>
            </w:pPr>
          </w:p>
        </w:tc>
        <w:tc>
          <w:tcPr>
            <w:tcW w:w="1048" w:type="dxa"/>
            <w:vMerge w:val="continue"/>
            <w:tcBorders>
              <w:left w:val="single" w:color="auto" w:sz="4" w:space="0"/>
              <w:bottom w:val="single" w:color="auto" w:sz="4" w:space="0"/>
              <w:right w:val="single" w:color="auto" w:sz="4" w:space="0"/>
            </w:tcBorders>
            <w:vAlign w:val="center"/>
          </w:tcPr>
          <w:p w14:paraId="3BB88294">
            <w:pPr>
              <w:spacing w:line="240" w:lineRule="auto"/>
              <w:ind w:firstLine="0"/>
              <w:jc w:val="center"/>
              <w:rPr>
                <w:color w:val="000000"/>
                <w:sz w:val="18"/>
                <w:szCs w:val="18"/>
              </w:rPr>
            </w:pPr>
          </w:p>
        </w:tc>
        <w:tc>
          <w:tcPr>
            <w:tcW w:w="1012" w:type="dxa"/>
            <w:vMerge w:val="continue"/>
            <w:tcBorders>
              <w:left w:val="single" w:color="auto" w:sz="4" w:space="0"/>
              <w:bottom w:val="single" w:color="auto" w:sz="4" w:space="0"/>
              <w:right w:val="single" w:color="auto" w:sz="4" w:space="0"/>
            </w:tcBorders>
            <w:vAlign w:val="center"/>
          </w:tcPr>
          <w:p w14:paraId="30763026">
            <w:pPr>
              <w:spacing w:line="240" w:lineRule="auto"/>
              <w:ind w:firstLine="0"/>
              <w:jc w:val="center"/>
              <w:rPr>
                <w:color w:val="000000"/>
                <w:sz w:val="18"/>
                <w:szCs w:val="18"/>
              </w:rPr>
            </w:pPr>
          </w:p>
        </w:tc>
        <w:tc>
          <w:tcPr>
            <w:tcW w:w="1068" w:type="dxa"/>
            <w:vMerge w:val="continue"/>
            <w:tcBorders>
              <w:left w:val="single" w:color="auto" w:sz="4" w:space="0"/>
              <w:bottom w:val="single" w:color="auto" w:sz="4" w:space="0"/>
              <w:right w:val="single" w:color="auto" w:sz="4" w:space="0"/>
            </w:tcBorders>
            <w:vAlign w:val="center"/>
          </w:tcPr>
          <w:p w14:paraId="4121FE1E">
            <w:pPr>
              <w:spacing w:line="240" w:lineRule="auto"/>
              <w:ind w:firstLine="0"/>
              <w:jc w:val="center"/>
              <w:rPr>
                <w:color w:val="000000"/>
                <w:sz w:val="18"/>
                <w:szCs w:val="18"/>
              </w:rPr>
            </w:pPr>
          </w:p>
        </w:tc>
        <w:tc>
          <w:tcPr>
            <w:tcW w:w="1031" w:type="dxa"/>
            <w:vMerge w:val="continue"/>
            <w:tcBorders>
              <w:left w:val="single" w:color="auto" w:sz="4" w:space="0"/>
              <w:bottom w:val="single" w:color="auto" w:sz="4" w:space="0"/>
              <w:right w:val="single" w:color="auto" w:sz="4" w:space="0"/>
            </w:tcBorders>
            <w:vAlign w:val="center"/>
          </w:tcPr>
          <w:p w14:paraId="501E9658">
            <w:pPr>
              <w:spacing w:line="240" w:lineRule="auto"/>
              <w:ind w:firstLine="0"/>
              <w:jc w:val="center"/>
              <w:rPr>
                <w:color w:val="000000"/>
                <w:sz w:val="18"/>
                <w:szCs w:val="18"/>
              </w:rPr>
            </w:pPr>
          </w:p>
        </w:tc>
        <w:tc>
          <w:tcPr>
            <w:tcW w:w="863" w:type="dxa"/>
            <w:tcBorders>
              <w:top w:val="single" w:color="auto" w:sz="4" w:space="0"/>
              <w:left w:val="single" w:color="auto" w:sz="4" w:space="0"/>
              <w:bottom w:val="single" w:color="auto" w:sz="4" w:space="0"/>
              <w:right w:val="single" w:color="auto" w:sz="4" w:space="0"/>
            </w:tcBorders>
            <w:vAlign w:val="center"/>
          </w:tcPr>
          <w:p w14:paraId="407A98D1">
            <w:pPr>
              <w:spacing w:line="240" w:lineRule="auto"/>
              <w:ind w:firstLine="0"/>
              <w:jc w:val="center"/>
              <w:rPr>
                <w:color w:val="000000"/>
                <w:sz w:val="18"/>
                <w:szCs w:val="18"/>
              </w:rPr>
            </w:pPr>
            <w:r>
              <w:rPr>
                <w:rFonts w:hint="eastAsia"/>
                <w:color w:val="000000"/>
                <w:sz w:val="18"/>
                <w:szCs w:val="18"/>
              </w:rPr>
              <w:t>砂壤土</w:t>
            </w:r>
          </w:p>
        </w:tc>
        <w:tc>
          <w:tcPr>
            <w:tcW w:w="952" w:type="dxa"/>
            <w:tcBorders>
              <w:top w:val="single" w:color="auto" w:sz="4" w:space="0"/>
              <w:left w:val="single" w:color="auto" w:sz="4" w:space="0"/>
              <w:bottom w:val="single" w:color="auto" w:sz="4" w:space="0"/>
              <w:right w:val="single" w:color="auto" w:sz="4" w:space="0"/>
            </w:tcBorders>
            <w:vAlign w:val="center"/>
          </w:tcPr>
          <w:p w14:paraId="3A456484">
            <w:pPr>
              <w:spacing w:line="240" w:lineRule="auto"/>
              <w:ind w:firstLine="0"/>
              <w:jc w:val="center"/>
              <w:rPr>
                <w:color w:val="000000"/>
                <w:sz w:val="18"/>
                <w:szCs w:val="18"/>
              </w:rPr>
            </w:pPr>
            <w:r>
              <w:rPr>
                <w:rFonts w:hint="eastAsia"/>
                <w:color w:val="000000"/>
                <w:sz w:val="18"/>
                <w:szCs w:val="18"/>
              </w:rPr>
              <w:t>壤土</w:t>
            </w:r>
          </w:p>
        </w:tc>
        <w:tc>
          <w:tcPr>
            <w:tcW w:w="1022" w:type="dxa"/>
            <w:tcBorders>
              <w:top w:val="single" w:color="auto" w:sz="4" w:space="0"/>
              <w:left w:val="single" w:color="auto" w:sz="4" w:space="0"/>
              <w:bottom w:val="single" w:color="auto" w:sz="4" w:space="0"/>
              <w:right w:val="single" w:color="auto" w:sz="4" w:space="0"/>
            </w:tcBorders>
            <w:vAlign w:val="center"/>
          </w:tcPr>
          <w:p w14:paraId="132DE696">
            <w:pPr>
              <w:spacing w:line="240" w:lineRule="auto"/>
              <w:ind w:firstLine="0"/>
              <w:jc w:val="center"/>
              <w:rPr>
                <w:color w:val="000000"/>
                <w:sz w:val="18"/>
                <w:szCs w:val="18"/>
              </w:rPr>
            </w:pPr>
            <w:r>
              <w:rPr>
                <w:rFonts w:hint="eastAsia"/>
                <w:color w:val="000000"/>
                <w:sz w:val="18"/>
                <w:szCs w:val="18"/>
              </w:rPr>
              <w:t>黏土</w:t>
            </w:r>
          </w:p>
        </w:tc>
      </w:tr>
      <w:tr w14:paraId="31CE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34" w:type="dxa"/>
            <w:vMerge w:val="restart"/>
            <w:tcBorders>
              <w:top w:val="single" w:color="auto" w:sz="4" w:space="0"/>
              <w:left w:val="single" w:color="auto" w:sz="4" w:space="0"/>
              <w:right w:val="single" w:color="auto" w:sz="4" w:space="0"/>
            </w:tcBorders>
            <w:vAlign w:val="center"/>
          </w:tcPr>
          <w:p w14:paraId="3B007075">
            <w:pPr>
              <w:spacing w:line="240" w:lineRule="auto"/>
              <w:ind w:firstLine="0"/>
              <w:jc w:val="center"/>
              <w:rPr>
                <w:color w:val="000000"/>
                <w:sz w:val="18"/>
                <w:szCs w:val="18"/>
              </w:rPr>
            </w:pPr>
            <w:r>
              <w:rPr>
                <w:rFonts w:hint="eastAsia"/>
                <w:color w:val="000000"/>
                <w:sz w:val="18"/>
                <w:szCs w:val="18"/>
              </w:rPr>
              <w:t>早稻季</w:t>
            </w:r>
          </w:p>
        </w:tc>
        <w:tc>
          <w:tcPr>
            <w:tcW w:w="992" w:type="dxa"/>
            <w:tcBorders>
              <w:top w:val="single" w:color="auto" w:sz="4" w:space="0"/>
              <w:left w:val="single" w:color="auto" w:sz="4" w:space="0"/>
              <w:bottom w:val="single" w:color="auto" w:sz="4" w:space="0"/>
              <w:right w:val="single" w:color="auto" w:sz="4" w:space="0"/>
            </w:tcBorders>
            <w:vAlign w:val="center"/>
          </w:tcPr>
          <w:p w14:paraId="1AE70768">
            <w:pPr>
              <w:spacing w:line="240" w:lineRule="auto"/>
              <w:ind w:firstLine="0"/>
              <w:jc w:val="center"/>
              <w:rPr>
                <w:color w:val="000000"/>
                <w:sz w:val="18"/>
                <w:szCs w:val="18"/>
              </w:rPr>
            </w:pPr>
            <w:r>
              <w:rPr>
                <w:rFonts w:hint="eastAsia"/>
                <w:color w:val="000000"/>
                <w:sz w:val="18"/>
                <w:szCs w:val="18"/>
              </w:rPr>
              <w:t>移栽稻/湿直播稻</w:t>
            </w:r>
          </w:p>
        </w:tc>
        <w:tc>
          <w:tcPr>
            <w:tcW w:w="1048" w:type="dxa"/>
            <w:tcBorders>
              <w:top w:val="single" w:color="auto" w:sz="4" w:space="0"/>
              <w:left w:val="single" w:color="auto" w:sz="4" w:space="0"/>
              <w:bottom w:val="single" w:color="auto" w:sz="4" w:space="0"/>
              <w:right w:val="single" w:color="auto" w:sz="4" w:space="0"/>
            </w:tcBorders>
            <w:vAlign w:val="center"/>
          </w:tcPr>
          <w:p w14:paraId="2C13DE86">
            <w:pPr>
              <w:spacing w:line="240" w:lineRule="auto"/>
              <w:ind w:firstLine="0"/>
              <w:jc w:val="center"/>
              <w:rPr>
                <w:color w:val="000000"/>
                <w:sz w:val="18"/>
                <w:szCs w:val="18"/>
              </w:rPr>
            </w:pPr>
            <w:r>
              <w:rPr>
                <w:rFonts w:hint="eastAsia"/>
                <w:color w:val="000000"/>
                <w:sz w:val="18"/>
                <w:szCs w:val="18"/>
              </w:rPr>
              <w:t>泡田期</w:t>
            </w:r>
          </w:p>
        </w:tc>
        <w:tc>
          <w:tcPr>
            <w:tcW w:w="1012" w:type="dxa"/>
            <w:tcBorders>
              <w:top w:val="single" w:color="auto" w:sz="4" w:space="0"/>
              <w:left w:val="single" w:color="auto" w:sz="4" w:space="0"/>
              <w:bottom w:val="single" w:color="auto" w:sz="4" w:space="0"/>
              <w:right w:val="single" w:color="auto" w:sz="4" w:space="0"/>
            </w:tcBorders>
            <w:vAlign w:val="center"/>
          </w:tcPr>
          <w:p w14:paraId="114C87EF">
            <w:pPr>
              <w:spacing w:line="240" w:lineRule="auto"/>
              <w:ind w:firstLine="0"/>
              <w:jc w:val="center"/>
              <w:rPr>
                <w:color w:val="000000"/>
                <w:sz w:val="18"/>
                <w:szCs w:val="18"/>
              </w:rPr>
            </w:pPr>
            <w:r>
              <w:rPr>
                <w:rFonts w:hint="eastAsia"/>
                <w:color w:val="000000"/>
                <w:sz w:val="18"/>
                <w:szCs w:val="18"/>
              </w:rPr>
              <w:t>田面水层</w:t>
            </w:r>
          </w:p>
          <w:p w14:paraId="400799B7">
            <w:pPr>
              <w:spacing w:line="240" w:lineRule="auto"/>
              <w:ind w:firstLine="0"/>
              <w:jc w:val="center"/>
              <w:rPr>
                <w:color w:val="000000"/>
                <w:sz w:val="18"/>
                <w:szCs w:val="18"/>
              </w:rPr>
            </w:pPr>
            <w:r>
              <w:rPr>
                <w:rFonts w:hint="eastAsia"/>
                <w:color w:val="000000"/>
                <w:sz w:val="18"/>
                <w:szCs w:val="18"/>
              </w:rPr>
              <w:t>10</w:t>
            </w:r>
            <w:r>
              <w:rPr>
                <w:color w:val="000000"/>
                <w:sz w:val="18"/>
                <w:szCs w:val="18"/>
              </w:rPr>
              <w:t xml:space="preserve"> mm</w:t>
            </w:r>
          </w:p>
        </w:tc>
        <w:tc>
          <w:tcPr>
            <w:tcW w:w="1068" w:type="dxa"/>
            <w:tcBorders>
              <w:top w:val="single" w:color="auto" w:sz="4" w:space="0"/>
              <w:left w:val="single" w:color="auto" w:sz="4" w:space="0"/>
              <w:bottom w:val="single" w:color="auto" w:sz="4" w:space="0"/>
              <w:right w:val="single" w:color="auto" w:sz="4" w:space="0"/>
            </w:tcBorders>
            <w:vAlign w:val="center"/>
          </w:tcPr>
          <w:p w14:paraId="7EA0DCAA">
            <w:pPr>
              <w:spacing w:line="240" w:lineRule="auto"/>
              <w:ind w:firstLine="0"/>
              <w:jc w:val="center"/>
              <w:rPr>
                <w:color w:val="000000"/>
                <w:sz w:val="18"/>
                <w:szCs w:val="18"/>
              </w:rPr>
            </w:pPr>
            <w:r>
              <w:rPr>
                <w:rFonts w:hint="eastAsia"/>
                <w:color w:val="000000"/>
                <w:sz w:val="18"/>
                <w:szCs w:val="18"/>
              </w:rPr>
              <w:t>田面水层</w:t>
            </w:r>
          </w:p>
          <w:p w14:paraId="7C3E6821">
            <w:pPr>
              <w:spacing w:line="240" w:lineRule="auto"/>
              <w:ind w:firstLine="0"/>
              <w:jc w:val="center"/>
              <w:rPr>
                <w:color w:val="000000"/>
                <w:sz w:val="18"/>
                <w:szCs w:val="18"/>
              </w:rPr>
            </w:pPr>
            <w:r>
              <w:rPr>
                <w:rFonts w:hint="eastAsia"/>
                <w:color w:val="000000"/>
                <w:sz w:val="18"/>
                <w:szCs w:val="18"/>
              </w:rPr>
              <w:t>30</w:t>
            </w:r>
            <w:r>
              <w:rPr>
                <w:color w:val="000000"/>
                <w:sz w:val="18"/>
                <w:szCs w:val="18"/>
              </w:rPr>
              <w:t xml:space="preserve"> mm</w:t>
            </w:r>
          </w:p>
        </w:tc>
        <w:tc>
          <w:tcPr>
            <w:tcW w:w="1031" w:type="dxa"/>
            <w:tcBorders>
              <w:top w:val="single" w:color="auto" w:sz="4" w:space="0"/>
              <w:left w:val="single" w:color="auto" w:sz="4" w:space="0"/>
              <w:bottom w:val="single" w:color="auto" w:sz="4" w:space="0"/>
              <w:right w:val="single" w:color="auto" w:sz="4" w:space="0"/>
            </w:tcBorders>
            <w:vAlign w:val="center"/>
          </w:tcPr>
          <w:p w14:paraId="012DBC4B">
            <w:pPr>
              <w:spacing w:line="240" w:lineRule="auto"/>
              <w:ind w:firstLine="0"/>
              <w:jc w:val="center"/>
              <w:rPr>
                <w:color w:val="000000"/>
                <w:sz w:val="18"/>
                <w:szCs w:val="18"/>
              </w:rPr>
            </w:pPr>
            <w:r>
              <w:rPr>
                <w:rFonts w:hint="eastAsia"/>
                <w:color w:val="000000"/>
                <w:sz w:val="18"/>
                <w:szCs w:val="18"/>
              </w:rPr>
              <w:t>13</w:t>
            </w:r>
          </w:p>
        </w:tc>
        <w:tc>
          <w:tcPr>
            <w:tcW w:w="863" w:type="dxa"/>
            <w:tcBorders>
              <w:top w:val="single" w:color="auto" w:sz="4" w:space="0"/>
              <w:left w:val="single" w:color="auto" w:sz="4" w:space="0"/>
              <w:bottom w:val="single" w:color="auto" w:sz="4" w:space="0"/>
              <w:right w:val="single" w:color="auto" w:sz="4" w:space="0"/>
            </w:tcBorders>
            <w:vAlign w:val="center"/>
          </w:tcPr>
          <w:p w14:paraId="529D37ED">
            <w:pPr>
              <w:spacing w:line="240" w:lineRule="auto"/>
              <w:ind w:firstLine="0"/>
              <w:jc w:val="center"/>
              <w:rPr>
                <w:color w:val="000000"/>
                <w:sz w:val="18"/>
                <w:szCs w:val="18"/>
              </w:rPr>
            </w:pPr>
            <w:r>
              <w:rPr>
                <w:color w:val="000000"/>
                <w:sz w:val="18"/>
                <w:szCs w:val="18"/>
              </w:rPr>
              <w:t>3</w:t>
            </w:r>
            <w:r>
              <w:rPr>
                <w:rFonts w:hint="eastAsia"/>
                <w:color w:val="000000"/>
                <w:kern w:val="0"/>
                <w:sz w:val="18"/>
                <w:szCs w:val="18"/>
              </w:rPr>
              <w:t>～</w:t>
            </w:r>
            <w:r>
              <w:rPr>
                <w:rFonts w:hint="eastAsia"/>
                <w:color w:val="000000"/>
                <w:sz w:val="18"/>
                <w:szCs w:val="18"/>
              </w:rPr>
              <w:t>5</w:t>
            </w:r>
          </w:p>
        </w:tc>
        <w:tc>
          <w:tcPr>
            <w:tcW w:w="952" w:type="dxa"/>
            <w:tcBorders>
              <w:top w:val="single" w:color="auto" w:sz="4" w:space="0"/>
              <w:left w:val="single" w:color="auto" w:sz="4" w:space="0"/>
              <w:bottom w:val="single" w:color="auto" w:sz="4" w:space="0"/>
              <w:right w:val="single" w:color="auto" w:sz="4" w:space="0"/>
            </w:tcBorders>
            <w:vAlign w:val="center"/>
          </w:tcPr>
          <w:p w14:paraId="74775F27">
            <w:pPr>
              <w:spacing w:line="240" w:lineRule="auto"/>
              <w:ind w:firstLine="0"/>
              <w:jc w:val="center"/>
              <w:rPr>
                <w:color w:val="000000"/>
                <w:sz w:val="18"/>
                <w:szCs w:val="18"/>
              </w:rPr>
            </w:pPr>
            <w:r>
              <w:rPr>
                <w:color w:val="000000"/>
                <w:sz w:val="18"/>
                <w:szCs w:val="18"/>
              </w:rPr>
              <w:t>3</w:t>
            </w:r>
            <w:r>
              <w:rPr>
                <w:rFonts w:hint="eastAsia"/>
                <w:color w:val="000000"/>
                <w:kern w:val="0"/>
                <w:sz w:val="18"/>
                <w:szCs w:val="18"/>
              </w:rPr>
              <w:t>～</w:t>
            </w:r>
            <w:r>
              <w:rPr>
                <w:rFonts w:hint="eastAsia"/>
                <w:color w:val="000000"/>
                <w:sz w:val="18"/>
                <w:szCs w:val="18"/>
              </w:rPr>
              <w:t>5</w:t>
            </w:r>
          </w:p>
        </w:tc>
        <w:tc>
          <w:tcPr>
            <w:tcW w:w="1022" w:type="dxa"/>
            <w:tcBorders>
              <w:top w:val="single" w:color="auto" w:sz="4" w:space="0"/>
              <w:left w:val="single" w:color="auto" w:sz="4" w:space="0"/>
              <w:bottom w:val="single" w:color="auto" w:sz="4" w:space="0"/>
              <w:right w:val="single" w:color="auto" w:sz="4" w:space="0"/>
            </w:tcBorders>
            <w:vAlign w:val="center"/>
          </w:tcPr>
          <w:p w14:paraId="228A6197">
            <w:pPr>
              <w:spacing w:line="240" w:lineRule="auto"/>
              <w:ind w:firstLine="0"/>
              <w:jc w:val="center"/>
              <w:rPr>
                <w:color w:val="000000"/>
                <w:sz w:val="18"/>
                <w:szCs w:val="18"/>
              </w:rPr>
            </w:pPr>
            <w:r>
              <w:rPr>
                <w:color w:val="000000"/>
                <w:sz w:val="18"/>
                <w:szCs w:val="18"/>
              </w:rPr>
              <w:t>3</w:t>
            </w:r>
            <w:r>
              <w:rPr>
                <w:rFonts w:hint="eastAsia"/>
                <w:color w:val="000000"/>
                <w:kern w:val="0"/>
                <w:sz w:val="18"/>
                <w:szCs w:val="18"/>
              </w:rPr>
              <w:t>～</w:t>
            </w:r>
            <w:r>
              <w:rPr>
                <w:rFonts w:hint="eastAsia"/>
                <w:color w:val="000000"/>
                <w:sz w:val="18"/>
                <w:szCs w:val="18"/>
              </w:rPr>
              <w:t>5</w:t>
            </w:r>
          </w:p>
        </w:tc>
      </w:tr>
      <w:tr w14:paraId="59F7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34" w:type="dxa"/>
            <w:vMerge w:val="continue"/>
            <w:tcBorders>
              <w:left w:val="single" w:color="auto" w:sz="4" w:space="0"/>
              <w:right w:val="single" w:color="auto" w:sz="4" w:space="0"/>
            </w:tcBorders>
            <w:vAlign w:val="center"/>
          </w:tcPr>
          <w:p w14:paraId="61A68221">
            <w:pPr>
              <w:spacing w:line="240" w:lineRule="auto"/>
              <w:ind w:firstLine="0"/>
              <w:jc w:val="center"/>
              <w:rPr>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BDB1111">
            <w:pPr>
              <w:spacing w:line="240" w:lineRule="auto"/>
              <w:ind w:firstLine="0"/>
              <w:jc w:val="center"/>
              <w:rPr>
                <w:color w:val="000000"/>
                <w:sz w:val="18"/>
                <w:szCs w:val="18"/>
              </w:rPr>
            </w:pPr>
            <w:r>
              <w:rPr>
                <w:rFonts w:hint="eastAsia"/>
                <w:color w:val="000000"/>
                <w:sz w:val="18"/>
                <w:szCs w:val="18"/>
              </w:rPr>
              <w:t>移栽稻</w:t>
            </w:r>
          </w:p>
        </w:tc>
        <w:tc>
          <w:tcPr>
            <w:tcW w:w="1048" w:type="dxa"/>
            <w:tcBorders>
              <w:top w:val="single" w:color="auto" w:sz="4" w:space="0"/>
              <w:left w:val="single" w:color="auto" w:sz="4" w:space="0"/>
              <w:bottom w:val="single" w:color="auto" w:sz="4" w:space="0"/>
              <w:right w:val="single" w:color="auto" w:sz="4" w:space="0"/>
            </w:tcBorders>
            <w:vAlign w:val="center"/>
          </w:tcPr>
          <w:p w14:paraId="2E2A944A">
            <w:pPr>
              <w:spacing w:line="240" w:lineRule="auto"/>
              <w:ind w:firstLine="0"/>
              <w:jc w:val="center"/>
              <w:rPr>
                <w:color w:val="000000"/>
                <w:sz w:val="18"/>
                <w:szCs w:val="18"/>
              </w:rPr>
            </w:pPr>
            <w:r>
              <w:rPr>
                <w:rFonts w:hint="eastAsia"/>
                <w:color w:val="000000"/>
                <w:sz w:val="18"/>
                <w:szCs w:val="18"/>
              </w:rPr>
              <w:t>返青期</w:t>
            </w:r>
          </w:p>
        </w:tc>
        <w:tc>
          <w:tcPr>
            <w:tcW w:w="1012" w:type="dxa"/>
            <w:tcBorders>
              <w:top w:val="single" w:color="auto" w:sz="4" w:space="0"/>
              <w:left w:val="single" w:color="auto" w:sz="4" w:space="0"/>
              <w:bottom w:val="single" w:color="auto" w:sz="4" w:space="0"/>
              <w:right w:val="single" w:color="auto" w:sz="4" w:space="0"/>
            </w:tcBorders>
            <w:vAlign w:val="center"/>
          </w:tcPr>
          <w:p w14:paraId="3287AFED">
            <w:pPr>
              <w:spacing w:line="240" w:lineRule="auto"/>
              <w:ind w:firstLine="0"/>
              <w:jc w:val="center"/>
              <w:rPr>
                <w:color w:val="000000"/>
                <w:sz w:val="18"/>
                <w:szCs w:val="18"/>
              </w:rPr>
            </w:pPr>
            <w:r>
              <w:rPr>
                <w:rFonts w:hint="eastAsia"/>
                <w:color w:val="000000"/>
                <w:sz w:val="18"/>
                <w:szCs w:val="18"/>
              </w:rPr>
              <w:t>田面水层</w:t>
            </w:r>
          </w:p>
          <w:p w14:paraId="1A74F729">
            <w:pPr>
              <w:spacing w:line="240" w:lineRule="auto"/>
              <w:ind w:firstLine="0"/>
              <w:jc w:val="center"/>
              <w:rPr>
                <w:color w:val="000000"/>
                <w:sz w:val="18"/>
                <w:szCs w:val="18"/>
              </w:rPr>
            </w:pPr>
            <w:r>
              <w:rPr>
                <w:color w:val="000000"/>
                <w:sz w:val="18"/>
                <w:szCs w:val="18"/>
              </w:rPr>
              <w:t>5 mm</w:t>
            </w:r>
          </w:p>
        </w:tc>
        <w:tc>
          <w:tcPr>
            <w:tcW w:w="1068" w:type="dxa"/>
            <w:tcBorders>
              <w:top w:val="single" w:color="auto" w:sz="4" w:space="0"/>
              <w:left w:val="single" w:color="auto" w:sz="4" w:space="0"/>
              <w:bottom w:val="single" w:color="auto" w:sz="4" w:space="0"/>
              <w:right w:val="single" w:color="auto" w:sz="4" w:space="0"/>
            </w:tcBorders>
            <w:vAlign w:val="center"/>
          </w:tcPr>
          <w:p w14:paraId="143A8E21">
            <w:pPr>
              <w:spacing w:line="240" w:lineRule="auto"/>
              <w:ind w:firstLine="0"/>
              <w:jc w:val="center"/>
              <w:rPr>
                <w:color w:val="000000"/>
                <w:sz w:val="18"/>
                <w:szCs w:val="18"/>
              </w:rPr>
            </w:pPr>
            <w:r>
              <w:rPr>
                <w:rFonts w:hint="eastAsia"/>
                <w:color w:val="000000"/>
                <w:sz w:val="18"/>
                <w:szCs w:val="18"/>
              </w:rPr>
              <w:t>田面水层</w:t>
            </w:r>
          </w:p>
          <w:p w14:paraId="256B3E3D">
            <w:pPr>
              <w:spacing w:line="240" w:lineRule="auto"/>
              <w:ind w:firstLine="0"/>
              <w:jc w:val="center"/>
              <w:rPr>
                <w:color w:val="000000"/>
                <w:sz w:val="18"/>
                <w:szCs w:val="18"/>
              </w:rPr>
            </w:pPr>
            <w:r>
              <w:rPr>
                <w:color w:val="000000"/>
                <w:sz w:val="18"/>
                <w:szCs w:val="18"/>
              </w:rPr>
              <w:t>20</w:t>
            </w:r>
            <w:r>
              <w:rPr>
                <w:rFonts w:hint="eastAsia"/>
                <w:color w:val="000000"/>
                <w:kern w:val="0"/>
                <w:sz w:val="18"/>
                <w:szCs w:val="18"/>
              </w:rPr>
              <w:t>～</w:t>
            </w:r>
            <w:r>
              <w:rPr>
                <w:color w:val="000000"/>
                <w:sz w:val="18"/>
                <w:szCs w:val="18"/>
              </w:rPr>
              <w:t>40 mm</w:t>
            </w:r>
          </w:p>
        </w:tc>
        <w:tc>
          <w:tcPr>
            <w:tcW w:w="1031" w:type="dxa"/>
            <w:tcBorders>
              <w:top w:val="single" w:color="auto" w:sz="4" w:space="0"/>
              <w:left w:val="single" w:color="auto" w:sz="4" w:space="0"/>
              <w:bottom w:val="single" w:color="auto" w:sz="4" w:space="0"/>
              <w:right w:val="single" w:color="auto" w:sz="4" w:space="0"/>
            </w:tcBorders>
            <w:vAlign w:val="center"/>
          </w:tcPr>
          <w:p w14:paraId="1E3F711F">
            <w:pPr>
              <w:spacing w:line="240" w:lineRule="auto"/>
              <w:ind w:firstLine="0"/>
              <w:jc w:val="center"/>
              <w:rPr>
                <w:color w:val="000000"/>
                <w:sz w:val="18"/>
                <w:szCs w:val="18"/>
              </w:rPr>
            </w:pPr>
            <w:r>
              <w:rPr>
                <w:color w:val="000000"/>
                <w:sz w:val="18"/>
                <w:szCs w:val="18"/>
              </w:rPr>
              <w:t>10</w:t>
            </w:r>
            <w:r>
              <w:rPr>
                <w:rFonts w:hint="eastAsia"/>
                <w:color w:val="000000"/>
                <w:kern w:val="0"/>
                <w:sz w:val="18"/>
                <w:szCs w:val="18"/>
              </w:rPr>
              <w:t>～</w:t>
            </w:r>
            <w:r>
              <w:rPr>
                <w:rFonts w:hint="eastAsia"/>
                <w:color w:val="000000"/>
                <w:sz w:val="18"/>
                <w:szCs w:val="18"/>
              </w:rPr>
              <w:t>2</w:t>
            </w:r>
            <w:r>
              <w:rPr>
                <w:color w:val="000000"/>
                <w:sz w:val="18"/>
                <w:szCs w:val="18"/>
              </w:rPr>
              <w:t>3</w:t>
            </w:r>
          </w:p>
        </w:tc>
        <w:tc>
          <w:tcPr>
            <w:tcW w:w="863" w:type="dxa"/>
            <w:tcBorders>
              <w:top w:val="single" w:color="auto" w:sz="4" w:space="0"/>
              <w:left w:val="single" w:color="auto" w:sz="4" w:space="0"/>
              <w:bottom w:val="single" w:color="auto" w:sz="4" w:space="0"/>
              <w:right w:val="single" w:color="auto" w:sz="4" w:space="0"/>
            </w:tcBorders>
            <w:vAlign w:val="center"/>
          </w:tcPr>
          <w:p w14:paraId="02E36644">
            <w:pPr>
              <w:spacing w:line="240" w:lineRule="auto"/>
              <w:ind w:firstLine="0"/>
              <w:jc w:val="center"/>
              <w:rPr>
                <w:color w:val="000000"/>
                <w:sz w:val="18"/>
                <w:szCs w:val="18"/>
              </w:rPr>
            </w:pPr>
            <w:r>
              <w:rPr>
                <w:rFonts w:hint="eastAsia"/>
                <w:color w:val="000000"/>
                <w:sz w:val="18"/>
                <w:szCs w:val="18"/>
              </w:rPr>
              <w:t>3</w:t>
            </w:r>
            <w:r>
              <w:rPr>
                <w:rFonts w:hint="eastAsia"/>
                <w:color w:val="000000"/>
                <w:kern w:val="0"/>
                <w:sz w:val="18"/>
                <w:szCs w:val="18"/>
              </w:rPr>
              <w:t>～</w:t>
            </w:r>
            <w:r>
              <w:rPr>
                <w:rFonts w:hint="eastAsia"/>
                <w:color w:val="000000"/>
                <w:sz w:val="18"/>
                <w:szCs w:val="18"/>
              </w:rPr>
              <w:t>4</w:t>
            </w:r>
          </w:p>
        </w:tc>
        <w:tc>
          <w:tcPr>
            <w:tcW w:w="952" w:type="dxa"/>
            <w:tcBorders>
              <w:top w:val="single" w:color="auto" w:sz="4" w:space="0"/>
              <w:left w:val="single" w:color="auto" w:sz="4" w:space="0"/>
              <w:bottom w:val="single" w:color="auto" w:sz="4" w:space="0"/>
              <w:right w:val="single" w:color="auto" w:sz="4" w:space="0"/>
            </w:tcBorders>
            <w:vAlign w:val="center"/>
          </w:tcPr>
          <w:p w14:paraId="68D6F46D">
            <w:pPr>
              <w:spacing w:line="240" w:lineRule="auto"/>
              <w:ind w:firstLine="0"/>
              <w:jc w:val="center"/>
              <w:rPr>
                <w:color w:val="000000"/>
                <w:sz w:val="18"/>
                <w:szCs w:val="18"/>
              </w:rPr>
            </w:pPr>
            <w:r>
              <w:rPr>
                <w:rFonts w:hint="eastAsia"/>
                <w:color w:val="000000"/>
                <w:sz w:val="18"/>
                <w:szCs w:val="18"/>
              </w:rPr>
              <w:t>3</w:t>
            </w:r>
            <w:r>
              <w:rPr>
                <w:rFonts w:hint="eastAsia"/>
                <w:color w:val="000000"/>
                <w:kern w:val="0"/>
                <w:sz w:val="18"/>
                <w:szCs w:val="18"/>
              </w:rPr>
              <w:t>～</w:t>
            </w:r>
            <w:r>
              <w:rPr>
                <w:rFonts w:hint="eastAsia"/>
                <w:color w:val="000000"/>
                <w:sz w:val="18"/>
                <w:szCs w:val="18"/>
              </w:rPr>
              <w:t>5</w:t>
            </w:r>
          </w:p>
        </w:tc>
        <w:tc>
          <w:tcPr>
            <w:tcW w:w="1022" w:type="dxa"/>
            <w:tcBorders>
              <w:top w:val="single" w:color="auto" w:sz="4" w:space="0"/>
              <w:left w:val="single" w:color="auto" w:sz="4" w:space="0"/>
              <w:bottom w:val="single" w:color="auto" w:sz="4" w:space="0"/>
              <w:right w:val="single" w:color="auto" w:sz="4" w:space="0"/>
            </w:tcBorders>
            <w:vAlign w:val="center"/>
          </w:tcPr>
          <w:p w14:paraId="196BDC82">
            <w:pPr>
              <w:spacing w:line="240" w:lineRule="auto"/>
              <w:ind w:firstLine="0"/>
              <w:jc w:val="center"/>
              <w:rPr>
                <w:color w:val="000000"/>
                <w:sz w:val="18"/>
                <w:szCs w:val="18"/>
              </w:rPr>
            </w:pPr>
            <w:r>
              <w:rPr>
                <w:rFonts w:hint="eastAsia"/>
                <w:color w:val="000000"/>
                <w:sz w:val="18"/>
                <w:szCs w:val="18"/>
              </w:rPr>
              <w:t>4</w:t>
            </w:r>
            <w:r>
              <w:rPr>
                <w:rFonts w:hint="eastAsia"/>
                <w:color w:val="000000"/>
                <w:kern w:val="0"/>
                <w:sz w:val="18"/>
                <w:szCs w:val="18"/>
              </w:rPr>
              <w:t>～</w:t>
            </w:r>
            <w:r>
              <w:rPr>
                <w:rFonts w:hint="eastAsia"/>
                <w:color w:val="000000"/>
                <w:sz w:val="18"/>
                <w:szCs w:val="18"/>
              </w:rPr>
              <w:t>6</w:t>
            </w:r>
          </w:p>
        </w:tc>
      </w:tr>
      <w:tr w14:paraId="79CB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534" w:type="dxa"/>
            <w:vMerge w:val="continue"/>
            <w:tcBorders>
              <w:left w:val="single" w:color="auto" w:sz="4" w:space="0"/>
              <w:right w:val="single" w:color="auto" w:sz="4" w:space="0"/>
            </w:tcBorders>
            <w:vAlign w:val="center"/>
          </w:tcPr>
          <w:p w14:paraId="79E1C4E0">
            <w:pPr>
              <w:spacing w:line="240" w:lineRule="auto"/>
              <w:ind w:firstLine="0"/>
              <w:jc w:val="center"/>
              <w:rPr>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54AC1C1">
            <w:pPr>
              <w:spacing w:line="240" w:lineRule="auto"/>
              <w:ind w:firstLine="0"/>
              <w:jc w:val="center"/>
              <w:rPr>
                <w:color w:val="000000"/>
                <w:sz w:val="18"/>
                <w:szCs w:val="18"/>
              </w:rPr>
            </w:pPr>
            <w:r>
              <w:rPr>
                <w:rFonts w:hint="eastAsia"/>
                <w:color w:val="000000"/>
                <w:sz w:val="18"/>
                <w:szCs w:val="18"/>
              </w:rPr>
              <w:t>湿/旱直播稻</w:t>
            </w:r>
          </w:p>
        </w:tc>
        <w:tc>
          <w:tcPr>
            <w:tcW w:w="1048" w:type="dxa"/>
            <w:tcBorders>
              <w:top w:val="single" w:color="auto" w:sz="4" w:space="0"/>
              <w:left w:val="single" w:color="auto" w:sz="4" w:space="0"/>
              <w:bottom w:val="single" w:color="auto" w:sz="4" w:space="0"/>
              <w:right w:val="single" w:color="auto" w:sz="4" w:space="0"/>
            </w:tcBorders>
            <w:vAlign w:val="center"/>
          </w:tcPr>
          <w:p w14:paraId="7FF7F708">
            <w:pPr>
              <w:spacing w:line="240" w:lineRule="auto"/>
              <w:ind w:firstLine="0"/>
              <w:jc w:val="center"/>
              <w:rPr>
                <w:color w:val="000000"/>
                <w:sz w:val="18"/>
                <w:szCs w:val="18"/>
              </w:rPr>
            </w:pPr>
            <w:r>
              <w:rPr>
                <w:rFonts w:hint="eastAsia"/>
                <w:color w:val="000000"/>
                <w:sz w:val="18"/>
                <w:szCs w:val="18"/>
              </w:rPr>
              <w:t>播种至三叶期</w:t>
            </w:r>
          </w:p>
        </w:tc>
        <w:tc>
          <w:tcPr>
            <w:tcW w:w="1012" w:type="dxa"/>
            <w:tcBorders>
              <w:top w:val="single" w:color="auto" w:sz="4" w:space="0"/>
              <w:left w:val="single" w:color="auto" w:sz="4" w:space="0"/>
              <w:bottom w:val="single" w:color="auto" w:sz="4" w:space="0"/>
              <w:right w:val="single" w:color="auto" w:sz="4" w:space="0"/>
            </w:tcBorders>
            <w:vAlign w:val="center"/>
          </w:tcPr>
          <w:p w14:paraId="66CCD9A7">
            <w:pPr>
              <w:spacing w:line="240" w:lineRule="auto"/>
              <w:ind w:firstLine="0"/>
              <w:jc w:val="center"/>
              <w:rPr>
                <w:color w:val="000000"/>
                <w:kern w:val="0"/>
                <w:sz w:val="18"/>
                <w:szCs w:val="18"/>
              </w:rPr>
            </w:pPr>
            <w:bookmarkStart w:id="41" w:name="OLE_LINK57"/>
            <w:bookmarkStart w:id="42" w:name="OLE_LINK58"/>
            <w:r>
              <w:rPr>
                <w:rFonts w:hint="eastAsia"/>
                <w:color w:val="000000"/>
                <w:kern w:val="0"/>
                <w:sz w:val="18"/>
                <w:szCs w:val="18"/>
              </w:rPr>
              <w:t>表土微干</w:t>
            </w:r>
            <w:bookmarkEnd w:id="41"/>
            <w:bookmarkEnd w:id="42"/>
          </w:p>
        </w:tc>
        <w:tc>
          <w:tcPr>
            <w:tcW w:w="1068" w:type="dxa"/>
            <w:tcBorders>
              <w:top w:val="single" w:color="auto" w:sz="4" w:space="0"/>
              <w:left w:val="single" w:color="auto" w:sz="4" w:space="0"/>
              <w:bottom w:val="single" w:color="auto" w:sz="4" w:space="0"/>
              <w:right w:val="single" w:color="auto" w:sz="4" w:space="0"/>
            </w:tcBorders>
            <w:vAlign w:val="center"/>
          </w:tcPr>
          <w:p w14:paraId="5BC6BD4C">
            <w:pPr>
              <w:spacing w:line="240" w:lineRule="auto"/>
              <w:ind w:firstLine="0"/>
              <w:jc w:val="center"/>
              <w:rPr>
                <w:color w:val="000000"/>
                <w:sz w:val="18"/>
                <w:szCs w:val="18"/>
              </w:rPr>
            </w:pPr>
            <w:bookmarkStart w:id="43" w:name="OLE_LINK61"/>
            <w:bookmarkStart w:id="44" w:name="OLE_LINK62"/>
            <w:r>
              <w:rPr>
                <w:rFonts w:hint="eastAsia"/>
                <w:color w:val="000000"/>
                <w:sz w:val="18"/>
                <w:szCs w:val="18"/>
              </w:rPr>
              <w:t>田面无水层</w:t>
            </w:r>
            <w:bookmarkEnd w:id="43"/>
            <w:bookmarkEnd w:id="44"/>
          </w:p>
        </w:tc>
        <w:tc>
          <w:tcPr>
            <w:tcW w:w="1031" w:type="dxa"/>
            <w:tcBorders>
              <w:top w:val="single" w:color="auto" w:sz="4" w:space="0"/>
              <w:left w:val="single" w:color="auto" w:sz="4" w:space="0"/>
              <w:bottom w:val="single" w:color="auto" w:sz="4" w:space="0"/>
              <w:right w:val="single" w:color="auto" w:sz="4" w:space="0"/>
            </w:tcBorders>
            <w:vAlign w:val="center"/>
          </w:tcPr>
          <w:p w14:paraId="72590072">
            <w:pPr>
              <w:spacing w:line="240" w:lineRule="auto"/>
              <w:ind w:firstLine="0"/>
              <w:jc w:val="center"/>
              <w:rPr>
                <w:color w:val="000000"/>
                <w:sz w:val="18"/>
                <w:szCs w:val="18"/>
              </w:rPr>
            </w:pPr>
            <w:r>
              <w:rPr>
                <w:rFonts w:hint="eastAsia"/>
                <w:color w:val="000000"/>
                <w:sz w:val="18"/>
                <w:szCs w:val="18"/>
              </w:rPr>
              <w:t>8</w:t>
            </w:r>
            <w:r>
              <w:rPr>
                <w:rFonts w:hint="eastAsia"/>
                <w:color w:val="000000"/>
                <w:kern w:val="0"/>
                <w:sz w:val="18"/>
                <w:szCs w:val="18"/>
              </w:rPr>
              <w:t>～</w:t>
            </w:r>
            <w:r>
              <w:rPr>
                <w:rFonts w:hint="eastAsia"/>
                <w:color w:val="000000"/>
                <w:sz w:val="18"/>
                <w:szCs w:val="18"/>
              </w:rPr>
              <w:t>10</w:t>
            </w:r>
          </w:p>
        </w:tc>
        <w:tc>
          <w:tcPr>
            <w:tcW w:w="863" w:type="dxa"/>
            <w:tcBorders>
              <w:top w:val="single" w:color="auto" w:sz="4" w:space="0"/>
              <w:left w:val="single" w:color="auto" w:sz="4" w:space="0"/>
              <w:bottom w:val="single" w:color="auto" w:sz="4" w:space="0"/>
              <w:right w:val="single" w:color="auto" w:sz="4" w:space="0"/>
            </w:tcBorders>
            <w:vAlign w:val="center"/>
          </w:tcPr>
          <w:p w14:paraId="5B730E92">
            <w:pPr>
              <w:spacing w:line="240" w:lineRule="auto"/>
              <w:ind w:firstLine="0"/>
              <w:jc w:val="center"/>
              <w:rPr>
                <w:color w:val="000000"/>
                <w:sz w:val="18"/>
                <w:szCs w:val="18"/>
              </w:rPr>
            </w:pPr>
            <w:r>
              <w:rPr>
                <w:rFonts w:hint="eastAsia"/>
                <w:color w:val="000000"/>
                <w:sz w:val="18"/>
                <w:szCs w:val="18"/>
              </w:rPr>
              <w:t>3</w:t>
            </w:r>
            <w:r>
              <w:rPr>
                <w:rFonts w:hint="eastAsia"/>
                <w:color w:val="000000"/>
                <w:kern w:val="0"/>
                <w:sz w:val="18"/>
                <w:szCs w:val="18"/>
              </w:rPr>
              <w:t>～</w:t>
            </w:r>
            <w:r>
              <w:rPr>
                <w:rFonts w:hint="eastAsia"/>
                <w:color w:val="000000"/>
                <w:sz w:val="18"/>
                <w:szCs w:val="18"/>
              </w:rPr>
              <w:t>4</w:t>
            </w:r>
          </w:p>
        </w:tc>
        <w:tc>
          <w:tcPr>
            <w:tcW w:w="952" w:type="dxa"/>
            <w:tcBorders>
              <w:top w:val="single" w:color="auto" w:sz="4" w:space="0"/>
              <w:left w:val="single" w:color="auto" w:sz="4" w:space="0"/>
              <w:bottom w:val="single" w:color="auto" w:sz="4" w:space="0"/>
              <w:right w:val="single" w:color="auto" w:sz="4" w:space="0"/>
            </w:tcBorders>
            <w:vAlign w:val="center"/>
          </w:tcPr>
          <w:p w14:paraId="6802EC4D">
            <w:pPr>
              <w:spacing w:line="240" w:lineRule="auto"/>
              <w:ind w:firstLine="0"/>
              <w:jc w:val="center"/>
              <w:rPr>
                <w:color w:val="000000"/>
                <w:sz w:val="18"/>
                <w:szCs w:val="18"/>
              </w:rPr>
            </w:pPr>
            <w:r>
              <w:rPr>
                <w:rFonts w:hint="eastAsia"/>
                <w:color w:val="000000"/>
                <w:sz w:val="18"/>
                <w:szCs w:val="18"/>
              </w:rPr>
              <w:t>3</w:t>
            </w:r>
            <w:r>
              <w:rPr>
                <w:rFonts w:hint="eastAsia"/>
                <w:color w:val="000000"/>
                <w:kern w:val="0"/>
                <w:sz w:val="18"/>
                <w:szCs w:val="18"/>
              </w:rPr>
              <w:t>～</w:t>
            </w:r>
            <w:r>
              <w:rPr>
                <w:rFonts w:hint="eastAsia"/>
                <w:color w:val="000000"/>
                <w:sz w:val="18"/>
                <w:szCs w:val="18"/>
              </w:rPr>
              <w:t>5</w:t>
            </w:r>
          </w:p>
        </w:tc>
        <w:tc>
          <w:tcPr>
            <w:tcW w:w="1022" w:type="dxa"/>
            <w:tcBorders>
              <w:top w:val="single" w:color="auto" w:sz="4" w:space="0"/>
              <w:left w:val="single" w:color="auto" w:sz="4" w:space="0"/>
              <w:bottom w:val="single" w:color="auto" w:sz="4" w:space="0"/>
              <w:right w:val="single" w:color="auto" w:sz="4" w:space="0"/>
            </w:tcBorders>
            <w:vAlign w:val="center"/>
          </w:tcPr>
          <w:p w14:paraId="53302A13">
            <w:pPr>
              <w:spacing w:line="240" w:lineRule="auto"/>
              <w:ind w:firstLine="0"/>
              <w:jc w:val="center"/>
              <w:rPr>
                <w:color w:val="000000"/>
                <w:sz w:val="18"/>
                <w:szCs w:val="18"/>
              </w:rPr>
            </w:pPr>
            <w:r>
              <w:rPr>
                <w:rFonts w:hint="eastAsia"/>
                <w:color w:val="000000"/>
                <w:sz w:val="18"/>
                <w:szCs w:val="18"/>
              </w:rPr>
              <w:t>4</w:t>
            </w:r>
            <w:r>
              <w:rPr>
                <w:rFonts w:hint="eastAsia"/>
                <w:color w:val="000000"/>
                <w:kern w:val="0"/>
                <w:sz w:val="18"/>
                <w:szCs w:val="18"/>
              </w:rPr>
              <w:t>～</w:t>
            </w:r>
            <w:r>
              <w:rPr>
                <w:rFonts w:hint="eastAsia"/>
                <w:color w:val="000000"/>
                <w:sz w:val="18"/>
                <w:szCs w:val="18"/>
              </w:rPr>
              <w:t>6</w:t>
            </w:r>
          </w:p>
        </w:tc>
      </w:tr>
      <w:tr w14:paraId="07E6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534" w:type="dxa"/>
            <w:vMerge w:val="continue"/>
            <w:tcBorders>
              <w:left w:val="single" w:color="auto" w:sz="4" w:space="0"/>
              <w:right w:val="single" w:color="auto" w:sz="4" w:space="0"/>
            </w:tcBorders>
            <w:vAlign w:val="center"/>
          </w:tcPr>
          <w:p w14:paraId="7DF8C234">
            <w:pPr>
              <w:spacing w:line="240" w:lineRule="auto"/>
              <w:ind w:firstLine="0"/>
              <w:jc w:val="center"/>
              <w:rPr>
                <w:color w:val="000000"/>
                <w:sz w:val="18"/>
                <w:szCs w:val="18"/>
              </w:rPr>
            </w:pPr>
          </w:p>
        </w:tc>
        <w:tc>
          <w:tcPr>
            <w:tcW w:w="992" w:type="dxa"/>
            <w:vMerge w:val="restart"/>
            <w:tcBorders>
              <w:top w:val="single" w:color="auto" w:sz="4" w:space="0"/>
              <w:left w:val="single" w:color="auto" w:sz="4" w:space="0"/>
              <w:right w:val="single" w:color="auto" w:sz="4" w:space="0"/>
            </w:tcBorders>
            <w:vAlign w:val="center"/>
          </w:tcPr>
          <w:p w14:paraId="4B3F4697">
            <w:pPr>
              <w:spacing w:line="240" w:lineRule="auto"/>
              <w:ind w:firstLine="0"/>
              <w:jc w:val="center"/>
              <w:rPr>
                <w:color w:val="000000"/>
                <w:sz w:val="18"/>
                <w:szCs w:val="18"/>
              </w:rPr>
            </w:pPr>
            <w:r>
              <w:rPr>
                <w:rFonts w:hint="eastAsia"/>
                <w:color w:val="000000"/>
                <w:sz w:val="18"/>
                <w:szCs w:val="18"/>
              </w:rPr>
              <w:t>移栽稻/旱直播稻/湿直播稻</w:t>
            </w:r>
          </w:p>
        </w:tc>
        <w:tc>
          <w:tcPr>
            <w:tcW w:w="1048" w:type="dxa"/>
            <w:tcBorders>
              <w:top w:val="single" w:color="auto" w:sz="4" w:space="0"/>
              <w:left w:val="single" w:color="auto" w:sz="4" w:space="0"/>
              <w:bottom w:val="single" w:color="auto" w:sz="4" w:space="0"/>
              <w:right w:val="single" w:color="auto" w:sz="4" w:space="0"/>
            </w:tcBorders>
            <w:vAlign w:val="center"/>
          </w:tcPr>
          <w:p w14:paraId="5583F8E1">
            <w:pPr>
              <w:spacing w:line="240" w:lineRule="auto"/>
              <w:ind w:firstLine="0"/>
              <w:jc w:val="center"/>
              <w:rPr>
                <w:color w:val="000000"/>
                <w:sz w:val="18"/>
                <w:szCs w:val="18"/>
              </w:rPr>
            </w:pPr>
            <w:r>
              <w:rPr>
                <w:rFonts w:hint="eastAsia"/>
                <w:color w:val="000000"/>
                <w:sz w:val="18"/>
                <w:szCs w:val="18"/>
              </w:rPr>
              <w:t>分蘖期</w:t>
            </w:r>
          </w:p>
        </w:tc>
        <w:tc>
          <w:tcPr>
            <w:tcW w:w="1012" w:type="dxa"/>
            <w:tcBorders>
              <w:top w:val="single" w:color="auto" w:sz="4" w:space="0"/>
              <w:left w:val="single" w:color="auto" w:sz="4" w:space="0"/>
              <w:bottom w:val="single" w:color="auto" w:sz="4" w:space="0"/>
              <w:right w:val="single" w:color="auto" w:sz="4" w:space="0"/>
            </w:tcBorders>
            <w:vAlign w:val="center"/>
          </w:tcPr>
          <w:p w14:paraId="42EFAA67">
            <w:pPr>
              <w:spacing w:line="240" w:lineRule="auto"/>
              <w:ind w:firstLine="0"/>
              <w:jc w:val="center"/>
              <w:rPr>
                <w:color w:val="000000"/>
                <w:sz w:val="18"/>
                <w:szCs w:val="18"/>
              </w:rPr>
            </w:pPr>
            <w:bookmarkStart w:id="45" w:name="_Hlk174888093"/>
            <w:r>
              <w:rPr>
                <w:rFonts w:hint="eastAsia"/>
                <w:color w:val="000000"/>
                <w:kern w:val="0"/>
                <w:sz w:val="18"/>
                <w:szCs w:val="18"/>
              </w:rPr>
              <w:t>表土发硬，田边发白</w:t>
            </w:r>
            <w:bookmarkEnd w:id="45"/>
          </w:p>
        </w:tc>
        <w:tc>
          <w:tcPr>
            <w:tcW w:w="1068" w:type="dxa"/>
            <w:tcBorders>
              <w:top w:val="single" w:color="auto" w:sz="4" w:space="0"/>
              <w:left w:val="single" w:color="auto" w:sz="4" w:space="0"/>
              <w:bottom w:val="single" w:color="auto" w:sz="4" w:space="0"/>
              <w:right w:val="single" w:color="auto" w:sz="4" w:space="0"/>
            </w:tcBorders>
            <w:vAlign w:val="center"/>
          </w:tcPr>
          <w:p w14:paraId="7F690303">
            <w:pPr>
              <w:spacing w:line="240" w:lineRule="auto"/>
              <w:ind w:firstLine="0"/>
              <w:jc w:val="center"/>
              <w:rPr>
                <w:color w:val="000000"/>
                <w:sz w:val="18"/>
                <w:szCs w:val="18"/>
              </w:rPr>
            </w:pPr>
            <w:r>
              <w:rPr>
                <w:rFonts w:hint="eastAsia"/>
                <w:color w:val="000000"/>
                <w:sz w:val="18"/>
                <w:szCs w:val="18"/>
              </w:rPr>
              <w:t>田面水层</w:t>
            </w:r>
          </w:p>
          <w:p w14:paraId="7AA582DF">
            <w:pPr>
              <w:spacing w:line="240" w:lineRule="auto"/>
              <w:ind w:firstLine="0"/>
              <w:jc w:val="center"/>
              <w:rPr>
                <w:color w:val="000000"/>
                <w:sz w:val="18"/>
                <w:szCs w:val="18"/>
              </w:rPr>
            </w:pPr>
            <w:r>
              <w:rPr>
                <w:color w:val="000000"/>
                <w:sz w:val="18"/>
                <w:szCs w:val="18"/>
              </w:rPr>
              <w:t>20</w:t>
            </w:r>
            <w:r>
              <w:rPr>
                <w:rFonts w:hint="eastAsia"/>
                <w:color w:val="000000"/>
                <w:kern w:val="0"/>
                <w:sz w:val="18"/>
                <w:szCs w:val="18"/>
              </w:rPr>
              <w:t>～</w:t>
            </w:r>
            <w:r>
              <w:rPr>
                <w:color w:val="000000"/>
                <w:sz w:val="18"/>
                <w:szCs w:val="18"/>
              </w:rPr>
              <w:t>40 mm</w:t>
            </w:r>
          </w:p>
        </w:tc>
        <w:tc>
          <w:tcPr>
            <w:tcW w:w="1031" w:type="dxa"/>
            <w:tcBorders>
              <w:top w:val="single" w:color="auto" w:sz="4" w:space="0"/>
              <w:left w:val="single" w:color="auto" w:sz="4" w:space="0"/>
              <w:bottom w:val="single" w:color="auto" w:sz="4" w:space="0"/>
              <w:right w:val="single" w:color="auto" w:sz="4" w:space="0"/>
            </w:tcBorders>
            <w:vAlign w:val="center"/>
          </w:tcPr>
          <w:p w14:paraId="3A9A9DB9">
            <w:pPr>
              <w:spacing w:line="240" w:lineRule="auto"/>
              <w:ind w:firstLine="0"/>
              <w:jc w:val="center"/>
              <w:rPr>
                <w:color w:val="000000"/>
                <w:sz w:val="18"/>
                <w:szCs w:val="18"/>
              </w:rPr>
            </w:pPr>
            <w:r>
              <w:rPr>
                <w:color w:val="000000"/>
                <w:sz w:val="18"/>
                <w:szCs w:val="18"/>
              </w:rPr>
              <w:t>22</w:t>
            </w:r>
            <w:r>
              <w:rPr>
                <w:rFonts w:hint="eastAsia"/>
                <w:color w:val="000000"/>
                <w:kern w:val="0"/>
                <w:sz w:val="18"/>
                <w:szCs w:val="18"/>
              </w:rPr>
              <w:t>～</w:t>
            </w:r>
            <w:r>
              <w:rPr>
                <w:color w:val="000000"/>
                <w:sz w:val="18"/>
                <w:szCs w:val="18"/>
              </w:rPr>
              <w:t>43</w:t>
            </w:r>
          </w:p>
        </w:tc>
        <w:tc>
          <w:tcPr>
            <w:tcW w:w="863" w:type="dxa"/>
            <w:tcBorders>
              <w:top w:val="single" w:color="auto" w:sz="4" w:space="0"/>
              <w:left w:val="single" w:color="auto" w:sz="4" w:space="0"/>
              <w:bottom w:val="single" w:color="auto" w:sz="4" w:space="0"/>
              <w:right w:val="single" w:color="auto" w:sz="4" w:space="0"/>
            </w:tcBorders>
            <w:vAlign w:val="center"/>
          </w:tcPr>
          <w:p w14:paraId="58A18DA9">
            <w:pPr>
              <w:spacing w:line="240" w:lineRule="auto"/>
              <w:ind w:firstLine="0"/>
              <w:jc w:val="center"/>
              <w:rPr>
                <w:color w:val="000000"/>
                <w:sz w:val="18"/>
                <w:szCs w:val="18"/>
              </w:rPr>
            </w:pPr>
            <w:r>
              <w:rPr>
                <w:rFonts w:hint="eastAsia"/>
                <w:color w:val="000000"/>
                <w:sz w:val="18"/>
                <w:szCs w:val="18"/>
              </w:rPr>
              <w:t>7</w:t>
            </w:r>
            <w:r>
              <w:rPr>
                <w:rFonts w:hint="eastAsia"/>
                <w:color w:val="000000"/>
                <w:kern w:val="0"/>
                <w:sz w:val="18"/>
                <w:szCs w:val="18"/>
              </w:rPr>
              <w:t>～</w:t>
            </w:r>
            <w:r>
              <w:rPr>
                <w:rFonts w:hint="eastAsia"/>
                <w:color w:val="000000"/>
                <w:sz w:val="18"/>
                <w:szCs w:val="18"/>
              </w:rPr>
              <w:t>9</w:t>
            </w:r>
          </w:p>
        </w:tc>
        <w:tc>
          <w:tcPr>
            <w:tcW w:w="952" w:type="dxa"/>
            <w:tcBorders>
              <w:top w:val="single" w:color="auto" w:sz="4" w:space="0"/>
              <w:left w:val="single" w:color="auto" w:sz="4" w:space="0"/>
              <w:bottom w:val="single" w:color="auto" w:sz="4" w:space="0"/>
              <w:right w:val="single" w:color="auto" w:sz="4" w:space="0"/>
            </w:tcBorders>
            <w:vAlign w:val="center"/>
          </w:tcPr>
          <w:p w14:paraId="48C462DD">
            <w:pPr>
              <w:spacing w:line="240" w:lineRule="auto"/>
              <w:ind w:firstLine="0"/>
              <w:jc w:val="center"/>
              <w:rPr>
                <w:color w:val="000000"/>
                <w:sz w:val="18"/>
                <w:szCs w:val="18"/>
              </w:rPr>
            </w:pPr>
            <w:r>
              <w:rPr>
                <w:rFonts w:hint="eastAsia"/>
                <w:color w:val="000000"/>
                <w:sz w:val="18"/>
                <w:szCs w:val="18"/>
              </w:rPr>
              <w:t>8</w:t>
            </w:r>
            <w:r>
              <w:rPr>
                <w:rFonts w:hint="eastAsia"/>
                <w:color w:val="000000"/>
                <w:kern w:val="0"/>
                <w:sz w:val="18"/>
                <w:szCs w:val="18"/>
              </w:rPr>
              <w:t>～</w:t>
            </w:r>
            <w:r>
              <w:rPr>
                <w:rFonts w:hint="eastAsia"/>
                <w:color w:val="000000"/>
                <w:sz w:val="18"/>
                <w:szCs w:val="18"/>
              </w:rPr>
              <w:t>10</w:t>
            </w:r>
          </w:p>
        </w:tc>
        <w:tc>
          <w:tcPr>
            <w:tcW w:w="1022" w:type="dxa"/>
            <w:tcBorders>
              <w:top w:val="single" w:color="auto" w:sz="4" w:space="0"/>
              <w:left w:val="single" w:color="auto" w:sz="4" w:space="0"/>
              <w:bottom w:val="single" w:color="auto" w:sz="4" w:space="0"/>
              <w:right w:val="single" w:color="auto" w:sz="4" w:space="0"/>
            </w:tcBorders>
            <w:vAlign w:val="center"/>
          </w:tcPr>
          <w:p w14:paraId="3111834A">
            <w:pPr>
              <w:spacing w:line="240" w:lineRule="auto"/>
              <w:ind w:firstLine="0"/>
              <w:jc w:val="center"/>
              <w:rPr>
                <w:color w:val="000000"/>
                <w:sz w:val="18"/>
                <w:szCs w:val="18"/>
              </w:rPr>
            </w:pPr>
            <w:r>
              <w:rPr>
                <w:rFonts w:hint="eastAsia"/>
                <w:color w:val="000000"/>
                <w:sz w:val="18"/>
                <w:szCs w:val="18"/>
              </w:rPr>
              <w:t>9</w:t>
            </w:r>
            <w:r>
              <w:rPr>
                <w:rFonts w:hint="eastAsia"/>
                <w:color w:val="000000"/>
                <w:kern w:val="0"/>
                <w:sz w:val="18"/>
                <w:szCs w:val="18"/>
              </w:rPr>
              <w:t>～</w:t>
            </w:r>
            <w:r>
              <w:rPr>
                <w:rFonts w:hint="eastAsia"/>
                <w:color w:val="000000"/>
                <w:sz w:val="18"/>
                <w:szCs w:val="18"/>
              </w:rPr>
              <w:t>11</w:t>
            </w:r>
          </w:p>
        </w:tc>
      </w:tr>
      <w:tr w14:paraId="6817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534" w:type="dxa"/>
            <w:vMerge w:val="continue"/>
            <w:tcBorders>
              <w:left w:val="single" w:color="auto" w:sz="4" w:space="0"/>
              <w:right w:val="single" w:color="auto" w:sz="4" w:space="0"/>
            </w:tcBorders>
            <w:vAlign w:val="center"/>
          </w:tcPr>
          <w:p w14:paraId="30EC01A6">
            <w:pPr>
              <w:spacing w:line="240" w:lineRule="auto"/>
              <w:ind w:firstLine="0"/>
              <w:jc w:val="center"/>
              <w:rPr>
                <w:color w:val="000000"/>
                <w:sz w:val="18"/>
                <w:szCs w:val="18"/>
              </w:rPr>
            </w:pPr>
          </w:p>
        </w:tc>
        <w:tc>
          <w:tcPr>
            <w:tcW w:w="992" w:type="dxa"/>
            <w:vMerge w:val="continue"/>
            <w:tcBorders>
              <w:left w:val="single" w:color="auto" w:sz="4" w:space="0"/>
              <w:right w:val="single" w:color="auto" w:sz="4" w:space="0"/>
            </w:tcBorders>
            <w:vAlign w:val="center"/>
          </w:tcPr>
          <w:p w14:paraId="69080E13">
            <w:pPr>
              <w:spacing w:line="240" w:lineRule="auto"/>
              <w:ind w:firstLine="0"/>
              <w:jc w:val="center"/>
              <w:rPr>
                <w:color w:val="000000"/>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7510E7C2">
            <w:pPr>
              <w:spacing w:line="240" w:lineRule="auto"/>
              <w:ind w:firstLine="0"/>
              <w:jc w:val="center"/>
              <w:rPr>
                <w:color w:val="000000"/>
                <w:sz w:val="18"/>
                <w:szCs w:val="18"/>
              </w:rPr>
            </w:pPr>
            <w:r>
              <w:rPr>
                <w:rFonts w:hint="eastAsia"/>
                <w:color w:val="000000"/>
                <w:sz w:val="18"/>
                <w:szCs w:val="18"/>
              </w:rPr>
              <w:t>分蘖盛期</w:t>
            </w:r>
          </w:p>
        </w:tc>
        <w:tc>
          <w:tcPr>
            <w:tcW w:w="1012" w:type="dxa"/>
            <w:tcBorders>
              <w:top w:val="single" w:color="auto" w:sz="4" w:space="0"/>
              <w:left w:val="single" w:color="auto" w:sz="4" w:space="0"/>
              <w:bottom w:val="single" w:color="auto" w:sz="4" w:space="0"/>
              <w:right w:val="single" w:color="auto" w:sz="4" w:space="0"/>
            </w:tcBorders>
            <w:vAlign w:val="center"/>
          </w:tcPr>
          <w:p w14:paraId="2497FD28">
            <w:pPr>
              <w:spacing w:line="240" w:lineRule="auto"/>
              <w:ind w:firstLine="0"/>
              <w:jc w:val="center"/>
              <w:rPr>
                <w:color w:val="000000"/>
                <w:kern w:val="0"/>
                <w:sz w:val="18"/>
                <w:szCs w:val="18"/>
              </w:rPr>
            </w:pPr>
            <w:r>
              <w:rPr>
                <w:rFonts w:hint="eastAsia"/>
                <w:color w:val="000000"/>
                <w:kern w:val="0"/>
                <w:sz w:val="18"/>
                <w:szCs w:val="18"/>
              </w:rPr>
              <w:t>田边发白，裂缝&lt;0.3 cm</w:t>
            </w:r>
          </w:p>
        </w:tc>
        <w:tc>
          <w:tcPr>
            <w:tcW w:w="1068" w:type="dxa"/>
            <w:tcBorders>
              <w:top w:val="single" w:color="auto" w:sz="4" w:space="0"/>
              <w:left w:val="single" w:color="auto" w:sz="4" w:space="0"/>
              <w:bottom w:val="single" w:color="auto" w:sz="4" w:space="0"/>
              <w:right w:val="single" w:color="auto" w:sz="4" w:space="0"/>
            </w:tcBorders>
            <w:vAlign w:val="center"/>
          </w:tcPr>
          <w:p w14:paraId="75D7AEC9">
            <w:pPr>
              <w:spacing w:line="240" w:lineRule="auto"/>
              <w:ind w:firstLine="0"/>
              <w:jc w:val="center"/>
              <w:rPr>
                <w:color w:val="000000"/>
                <w:sz w:val="18"/>
                <w:szCs w:val="18"/>
              </w:rPr>
            </w:pPr>
            <w:r>
              <w:rPr>
                <w:rFonts w:hint="eastAsia"/>
                <w:color w:val="000000"/>
                <w:sz w:val="18"/>
                <w:szCs w:val="18"/>
              </w:rPr>
              <w:t>田面水层</w:t>
            </w:r>
          </w:p>
          <w:p w14:paraId="6E594B41">
            <w:pPr>
              <w:spacing w:line="240" w:lineRule="auto"/>
              <w:ind w:firstLine="0"/>
              <w:jc w:val="center"/>
              <w:rPr>
                <w:color w:val="000000"/>
                <w:sz w:val="18"/>
                <w:szCs w:val="18"/>
              </w:rPr>
            </w:pPr>
            <w:r>
              <w:rPr>
                <w:color w:val="000000"/>
                <w:sz w:val="18"/>
                <w:szCs w:val="18"/>
              </w:rPr>
              <w:t>20</w:t>
            </w:r>
            <w:r>
              <w:rPr>
                <w:rFonts w:hint="eastAsia"/>
                <w:color w:val="000000"/>
                <w:kern w:val="0"/>
                <w:sz w:val="18"/>
                <w:szCs w:val="18"/>
              </w:rPr>
              <w:t>～</w:t>
            </w:r>
            <w:r>
              <w:rPr>
                <w:color w:val="000000"/>
                <w:sz w:val="18"/>
                <w:szCs w:val="18"/>
              </w:rPr>
              <w:t>40 mm</w:t>
            </w:r>
          </w:p>
        </w:tc>
        <w:tc>
          <w:tcPr>
            <w:tcW w:w="1031" w:type="dxa"/>
            <w:tcBorders>
              <w:top w:val="single" w:color="auto" w:sz="4" w:space="0"/>
              <w:left w:val="single" w:color="auto" w:sz="4" w:space="0"/>
              <w:bottom w:val="single" w:color="auto" w:sz="4" w:space="0"/>
              <w:right w:val="single" w:color="auto" w:sz="4" w:space="0"/>
            </w:tcBorders>
            <w:vAlign w:val="center"/>
          </w:tcPr>
          <w:p w14:paraId="72A8EEBA">
            <w:pPr>
              <w:spacing w:line="240" w:lineRule="auto"/>
              <w:ind w:firstLine="0"/>
              <w:jc w:val="center"/>
              <w:rPr>
                <w:color w:val="000000"/>
                <w:sz w:val="18"/>
                <w:szCs w:val="18"/>
              </w:rPr>
            </w:pPr>
            <w:r>
              <w:rPr>
                <w:rFonts w:hint="eastAsia"/>
                <w:color w:val="000000"/>
                <w:sz w:val="18"/>
                <w:szCs w:val="18"/>
              </w:rPr>
              <w:t>50</w:t>
            </w:r>
            <w:r>
              <w:rPr>
                <w:rFonts w:hint="eastAsia"/>
                <w:color w:val="000000"/>
                <w:kern w:val="0"/>
                <w:sz w:val="18"/>
                <w:szCs w:val="18"/>
              </w:rPr>
              <w:t>～</w:t>
            </w:r>
            <w:r>
              <w:rPr>
                <w:rFonts w:hint="eastAsia"/>
                <w:color w:val="000000"/>
                <w:sz w:val="18"/>
                <w:szCs w:val="18"/>
              </w:rPr>
              <w:t>70</w:t>
            </w:r>
          </w:p>
        </w:tc>
        <w:tc>
          <w:tcPr>
            <w:tcW w:w="863" w:type="dxa"/>
            <w:tcBorders>
              <w:top w:val="single" w:color="auto" w:sz="4" w:space="0"/>
              <w:left w:val="single" w:color="auto" w:sz="4" w:space="0"/>
              <w:bottom w:val="single" w:color="auto" w:sz="4" w:space="0"/>
              <w:right w:val="single" w:color="auto" w:sz="4" w:space="0"/>
            </w:tcBorders>
            <w:vAlign w:val="center"/>
          </w:tcPr>
          <w:p w14:paraId="55DB47FC">
            <w:pPr>
              <w:spacing w:line="240" w:lineRule="auto"/>
              <w:ind w:firstLine="0"/>
              <w:jc w:val="center"/>
              <w:rPr>
                <w:color w:val="000000"/>
                <w:sz w:val="18"/>
                <w:szCs w:val="18"/>
              </w:rPr>
            </w:pPr>
            <w:r>
              <w:rPr>
                <w:rFonts w:hint="eastAsia"/>
                <w:color w:val="000000"/>
                <w:sz w:val="18"/>
                <w:szCs w:val="18"/>
              </w:rPr>
              <w:t>8</w:t>
            </w:r>
            <w:r>
              <w:rPr>
                <w:rFonts w:hint="eastAsia"/>
                <w:color w:val="000000"/>
                <w:kern w:val="0"/>
                <w:sz w:val="18"/>
                <w:szCs w:val="18"/>
              </w:rPr>
              <w:t>～</w:t>
            </w:r>
            <w:r>
              <w:rPr>
                <w:rFonts w:hint="eastAsia"/>
                <w:color w:val="000000"/>
                <w:sz w:val="18"/>
                <w:szCs w:val="18"/>
              </w:rPr>
              <w:t>10</w:t>
            </w:r>
          </w:p>
        </w:tc>
        <w:tc>
          <w:tcPr>
            <w:tcW w:w="952" w:type="dxa"/>
            <w:tcBorders>
              <w:top w:val="single" w:color="auto" w:sz="4" w:space="0"/>
              <w:left w:val="single" w:color="auto" w:sz="4" w:space="0"/>
              <w:bottom w:val="single" w:color="auto" w:sz="4" w:space="0"/>
              <w:right w:val="single" w:color="auto" w:sz="4" w:space="0"/>
            </w:tcBorders>
            <w:vAlign w:val="center"/>
          </w:tcPr>
          <w:p w14:paraId="58657679">
            <w:pPr>
              <w:spacing w:line="240" w:lineRule="auto"/>
              <w:ind w:firstLine="0"/>
              <w:jc w:val="center"/>
              <w:rPr>
                <w:color w:val="000000"/>
                <w:sz w:val="18"/>
                <w:szCs w:val="18"/>
              </w:rPr>
            </w:pPr>
            <w:bookmarkStart w:id="46" w:name="_Hlk174888004"/>
            <w:r>
              <w:rPr>
                <w:rFonts w:hint="eastAsia"/>
                <w:color w:val="000000"/>
                <w:sz w:val="18"/>
                <w:szCs w:val="18"/>
              </w:rPr>
              <w:t>10</w:t>
            </w:r>
            <w:r>
              <w:rPr>
                <w:rFonts w:hint="eastAsia"/>
                <w:color w:val="000000"/>
                <w:kern w:val="0"/>
                <w:sz w:val="18"/>
                <w:szCs w:val="18"/>
              </w:rPr>
              <w:t>～</w:t>
            </w:r>
            <w:r>
              <w:rPr>
                <w:rFonts w:hint="eastAsia"/>
                <w:color w:val="000000"/>
                <w:sz w:val="18"/>
                <w:szCs w:val="18"/>
              </w:rPr>
              <w:t>1</w:t>
            </w:r>
            <w:bookmarkEnd w:id="46"/>
            <w:r>
              <w:rPr>
                <w:rFonts w:hint="eastAsia"/>
                <w:color w:val="000000"/>
                <w:sz w:val="18"/>
                <w:szCs w:val="18"/>
              </w:rPr>
              <w:t>2</w:t>
            </w:r>
          </w:p>
        </w:tc>
        <w:tc>
          <w:tcPr>
            <w:tcW w:w="1022" w:type="dxa"/>
            <w:tcBorders>
              <w:top w:val="single" w:color="auto" w:sz="4" w:space="0"/>
              <w:left w:val="single" w:color="auto" w:sz="4" w:space="0"/>
              <w:bottom w:val="single" w:color="auto" w:sz="4" w:space="0"/>
              <w:right w:val="single" w:color="auto" w:sz="4" w:space="0"/>
            </w:tcBorders>
            <w:vAlign w:val="center"/>
          </w:tcPr>
          <w:p w14:paraId="477ED753">
            <w:pPr>
              <w:spacing w:line="240" w:lineRule="auto"/>
              <w:ind w:firstLine="0"/>
              <w:jc w:val="center"/>
              <w:rPr>
                <w:color w:val="000000"/>
                <w:sz w:val="18"/>
                <w:szCs w:val="18"/>
              </w:rPr>
            </w:pPr>
            <w:r>
              <w:rPr>
                <w:rFonts w:hint="eastAsia"/>
                <w:color w:val="000000"/>
                <w:sz w:val="18"/>
                <w:szCs w:val="18"/>
              </w:rPr>
              <w:t>11</w:t>
            </w:r>
            <w:r>
              <w:rPr>
                <w:rFonts w:hint="eastAsia"/>
                <w:color w:val="000000"/>
                <w:kern w:val="0"/>
                <w:sz w:val="18"/>
                <w:szCs w:val="18"/>
              </w:rPr>
              <w:t>～</w:t>
            </w:r>
            <w:r>
              <w:rPr>
                <w:rFonts w:hint="eastAsia"/>
                <w:color w:val="000000"/>
                <w:sz w:val="18"/>
                <w:szCs w:val="18"/>
              </w:rPr>
              <w:t>13</w:t>
            </w:r>
          </w:p>
        </w:tc>
      </w:tr>
      <w:tr w14:paraId="5B203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534" w:type="dxa"/>
            <w:vMerge w:val="continue"/>
            <w:tcBorders>
              <w:left w:val="single" w:color="auto" w:sz="4" w:space="0"/>
              <w:right w:val="single" w:color="auto" w:sz="4" w:space="0"/>
            </w:tcBorders>
            <w:vAlign w:val="center"/>
          </w:tcPr>
          <w:p w14:paraId="635983A7">
            <w:pPr>
              <w:spacing w:line="240" w:lineRule="auto"/>
              <w:ind w:firstLine="0"/>
              <w:jc w:val="center"/>
              <w:rPr>
                <w:color w:val="000000"/>
                <w:sz w:val="18"/>
                <w:szCs w:val="18"/>
              </w:rPr>
            </w:pPr>
          </w:p>
        </w:tc>
        <w:tc>
          <w:tcPr>
            <w:tcW w:w="992" w:type="dxa"/>
            <w:vMerge w:val="continue"/>
            <w:tcBorders>
              <w:left w:val="single" w:color="auto" w:sz="4" w:space="0"/>
              <w:right w:val="single" w:color="auto" w:sz="4" w:space="0"/>
            </w:tcBorders>
            <w:vAlign w:val="center"/>
          </w:tcPr>
          <w:p w14:paraId="7C1C85E4">
            <w:pPr>
              <w:spacing w:line="240" w:lineRule="auto"/>
              <w:ind w:firstLine="0"/>
              <w:jc w:val="center"/>
              <w:rPr>
                <w:color w:val="000000"/>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6D496F11">
            <w:pPr>
              <w:spacing w:line="240" w:lineRule="auto"/>
              <w:ind w:firstLine="0"/>
              <w:jc w:val="center"/>
              <w:rPr>
                <w:color w:val="000000"/>
                <w:sz w:val="18"/>
                <w:szCs w:val="18"/>
              </w:rPr>
            </w:pPr>
            <w:r>
              <w:rPr>
                <w:rFonts w:hint="eastAsia"/>
                <w:color w:val="000000"/>
                <w:sz w:val="18"/>
                <w:szCs w:val="18"/>
              </w:rPr>
              <w:t>拔节期</w:t>
            </w:r>
          </w:p>
        </w:tc>
        <w:tc>
          <w:tcPr>
            <w:tcW w:w="1012" w:type="dxa"/>
            <w:tcBorders>
              <w:top w:val="single" w:color="auto" w:sz="4" w:space="0"/>
              <w:left w:val="single" w:color="auto" w:sz="4" w:space="0"/>
              <w:bottom w:val="single" w:color="auto" w:sz="4" w:space="0"/>
              <w:right w:val="single" w:color="auto" w:sz="4" w:space="0"/>
            </w:tcBorders>
            <w:vAlign w:val="center"/>
          </w:tcPr>
          <w:p w14:paraId="3536C71A">
            <w:pPr>
              <w:spacing w:line="240" w:lineRule="auto"/>
              <w:ind w:firstLine="0"/>
              <w:jc w:val="center"/>
              <w:rPr>
                <w:color w:val="000000"/>
                <w:kern w:val="0"/>
                <w:sz w:val="18"/>
                <w:szCs w:val="18"/>
              </w:rPr>
            </w:pPr>
            <w:r>
              <w:rPr>
                <w:rFonts w:hint="eastAsia"/>
                <w:color w:val="000000"/>
                <w:kern w:val="0"/>
                <w:sz w:val="18"/>
                <w:szCs w:val="18"/>
              </w:rPr>
              <w:t>表土发硬，田边发白</w:t>
            </w:r>
          </w:p>
        </w:tc>
        <w:tc>
          <w:tcPr>
            <w:tcW w:w="1068" w:type="dxa"/>
            <w:tcBorders>
              <w:top w:val="single" w:color="auto" w:sz="4" w:space="0"/>
              <w:left w:val="single" w:color="auto" w:sz="4" w:space="0"/>
              <w:bottom w:val="single" w:color="auto" w:sz="4" w:space="0"/>
              <w:right w:val="single" w:color="auto" w:sz="4" w:space="0"/>
            </w:tcBorders>
            <w:vAlign w:val="center"/>
          </w:tcPr>
          <w:p w14:paraId="118107E4">
            <w:pPr>
              <w:spacing w:line="240" w:lineRule="auto"/>
              <w:ind w:firstLine="0"/>
              <w:jc w:val="center"/>
              <w:rPr>
                <w:color w:val="000000"/>
                <w:sz w:val="18"/>
                <w:szCs w:val="18"/>
              </w:rPr>
            </w:pPr>
            <w:r>
              <w:rPr>
                <w:rFonts w:hint="eastAsia"/>
                <w:color w:val="000000"/>
                <w:sz w:val="18"/>
                <w:szCs w:val="18"/>
              </w:rPr>
              <w:t>田面水层</w:t>
            </w:r>
          </w:p>
          <w:p w14:paraId="1E186855">
            <w:pPr>
              <w:spacing w:line="240" w:lineRule="auto"/>
              <w:ind w:firstLine="0"/>
              <w:jc w:val="center"/>
              <w:rPr>
                <w:color w:val="000000"/>
                <w:sz w:val="18"/>
                <w:szCs w:val="18"/>
              </w:rPr>
            </w:pPr>
            <w:r>
              <w:rPr>
                <w:color w:val="000000"/>
                <w:sz w:val="18"/>
                <w:szCs w:val="18"/>
              </w:rPr>
              <w:t>20</w:t>
            </w:r>
            <w:r>
              <w:rPr>
                <w:rFonts w:hint="eastAsia"/>
                <w:color w:val="000000"/>
                <w:kern w:val="0"/>
                <w:sz w:val="18"/>
                <w:szCs w:val="18"/>
              </w:rPr>
              <w:t>～</w:t>
            </w:r>
            <w:r>
              <w:rPr>
                <w:color w:val="000000"/>
                <w:sz w:val="18"/>
                <w:szCs w:val="18"/>
              </w:rPr>
              <w:t>40 mm</w:t>
            </w:r>
          </w:p>
        </w:tc>
        <w:tc>
          <w:tcPr>
            <w:tcW w:w="1031" w:type="dxa"/>
            <w:tcBorders>
              <w:top w:val="single" w:color="auto" w:sz="4" w:space="0"/>
              <w:left w:val="single" w:color="auto" w:sz="4" w:space="0"/>
              <w:bottom w:val="single" w:color="auto" w:sz="4" w:space="0"/>
              <w:right w:val="single" w:color="auto" w:sz="4" w:space="0"/>
            </w:tcBorders>
            <w:vAlign w:val="center"/>
          </w:tcPr>
          <w:p w14:paraId="296748B1">
            <w:pPr>
              <w:spacing w:line="240" w:lineRule="auto"/>
              <w:ind w:firstLine="0"/>
              <w:jc w:val="center"/>
              <w:rPr>
                <w:color w:val="000000"/>
                <w:sz w:val="18"/>
                <w:szCs w:val="18"/>
              </w:rPr>
            </w:pPr>
            <w:r>
              <w:rPr>
                <w:color w:val="000000"/>
                <w:sz w:val="18"/>
                <w:szCs w:val="18"/>
              </w:rPr>
              <w:t>22</w:t>
            </w:r>
            <w:r>
              <w:rPr>
                <w:rFonts w:hint="eastAsia"/>
                <w:color w:val="000000"/>
                <w:kern w:val="0"/>
                <w:sz w:val="18"/>
                <w:szCs w:val="18"/>
              </w:rPr>
              <w:t>～</w:t>
            </w:r>
            <w:r>
              <w:rPr>
                <w:color w:val="000000"/>
                <w:sz w:val="18"/>
                <w:szCs w:val="18"/>
              </w:rPr>
              <w:t>43</w:t>
            </w:r>
          </w:p>
        </w:tc>
        <w:tc>
          <w:tcPr>
            <w:tcW w:w="863" w:type="dxa"/>
            <w:tcBorders>
              <w:top w:val="single" w:color="auto" w:sz="4" w:space="0"/>
              <w:left w:val="single" w:color="auto" w:sz="4" w:space="0"/>
              <w:bottom w:val="single" w:color="auto" w:sz="4" w:space="0"/>
              <w:right w:val="single" w:color="auto" w:sz="4" w:space="0"/>
            </w:tcBorders>
            <w:vAlign w:val="center"/>
          </w:tcPr>
          <w:p w14:paraId="7A5C7089">
            <w:pPr>
              <w:spacing w:line="240" w:lineRule="auto"/>
              <w:ind w:firstLine="0"/>
              <w:jc w:val="center"/>
              <w:rPr>
                <w:color w:val="000000"/>
                <w:sz w:val="18"/>
                <w:szCs w:val="18"/>
              </w:rPr>
            </w:pPr>
            <w:r>
              <w:rPr>
                <w:rFonts w:hint="eastAsia"/>
                <w:color w:val="000000"/>
                <w:sz w:val="18"/>
                <w:szCs w:val="18"/>
              </w:rPr>
              <w:t>6</w:t>
            </w:r>
            <w:r>
              <w:rPr>
                <w:rFonts w:hint="eastAsia"/>
                <w:color w:val="000000"/>
                <w:kern w:val="0"/>
                <w:sz w:val="18"/>
                <w:szCs w:val="18"/>
              </w:rPr>
              <w:t>～</w:t>
            </w:r>
            <w:r>
              <w:rPr>
                <w:rFonts w:hint="eastAsia"/>
                <w:color w:val="000000"/>
                <w:sz w:val="18"/>
                <w:szCs w:val="18"/>
              </w:rPr>
              <w:t>8</w:t>
            </w:r>
          </w:p>
        </w:tc>
        <w:tc>
          <w:tcPr>
            <w:tcW w:w="952" w:type="dxa"/>
            <w:tcBorders>
              <w:top w:val="single" w:color="auto" w:sz="4" w:space="0"/>
              <w:left w:val="single" w:color="auto" w:sz="4" w:space="0"/>
              <w:bottom w:val="single" w:color="auto" w:sz="4" w:space="0"/>
              <w:right w:val="single" w:color="auto" w:sz="4" w:space="0"/>
            </w:tcBorders>
            <w:vAlign w:val="center"/>
          </w:tcPr>
          <w:p w14:paraId="4756277D">
            <w:pPr>
              <w:spacing w:line="240" w:lineRule="auto"/>
              <w:ind w:firstLine="0"/>
              <w:jc w:val="center"/>
              <w:rPr>
                <w:color w:val="000000"/>
                <w:sz w:val="18"/>
                <w:szCs w:val="18"/>
              </w:rPr>
            </w:pPr>
            <w:r>
              <w:rPr>
                <w:rFonts w:hint="eastAsia"/>
                <w:color w:val="000000"/>
                <w:sz w:val="18"/>
                <w:szCs w:val="18"/>
              </w:rPr>
              <w:t>7</w:t>
            </w:r>
            <w:r>
              <w:rPr>
                <w:rFonts w:hint="eastAsia"/>
                <w:color w:val="000000"/>
                <w:kern w:val="0"/>
                <w:sz w:val="18"/>
                <w:szCs w:val="18"/>
              </w:rPr>
              <w:t>～</w:t>
            </w:r>
            <w:r>
              <w:rPr>
                <w:rFonts w:hint="eastAsia"/>
                <w:color w:val="000000"/>
                <w:sz w:val="18"/>
                <w:szCs w:val="18"/>
              </w:rPr>
              <w:t>9</w:t>
            </w:r>
          </w:p>
        </w:tc>
        <w:tc>
          <w:tcPr>
            <w:tcW w:w="1022" w:type="dxa"/>
            <w:tcBorders>
              <w:top w:val="single" w:color="auto" w:sz="4" w:space="0"/>
              <w:left w:val="single" w:color="auto" w:sz="4" w:space="0"/>
              <w:bottom w:val="single" w:color="auto" w:sz="4" w:space="0"/>
              <w:right w:val="single" w:color="auto" w:sz="4" w:space="0"/>
            </w:tcBorders>
            <w:vAlign w:val="center"/>
          </w:tcPr>
          <w:p w14:paraId="4F35B9A8">
            <w:pPr>
              <w:spacing w:line="240" w:lineRule="auto"/>
              <w:ind w:firstLine="0"/>
              <w:jc w:val="center"/>
              <w:rPr>
                <w:color w:val="000000"/>
                <w:sz w:val="18"/>
                <w:szCs w:val="18"/>
              </w:rPr>
            </w:pPr>
            <w:r>
              <w:rPr>
                <w:rFonts w:hint="eastAsia"/>
                <w:color w:val="000000"/>
                <w:sz w:val="18"/>
                <w:szCs w:val="18"/>
              </w:rPr>
              <w:t>8</w:t>
            </w:r>
            <w:r>
              <w:rPr>
                <w:rFonts w:hint="eastAsia"/>
                <w:color w:val="000000"/>
                <w:kern w:val="0"/>
                <w:sz w:val="18"/>
                <w:szCs w:val="18"/>
              </w:rPr>
              <w:t>～</w:t>
            </w:r>
            <w:r>
              <w:rPr>
                <w:rFonts w:hint="eastAsia"/>
                <w:color w:val="000000"/>
                <w:sz w:val="18"/>
                <w:szCs w:val="18"/>
              </w:rPr>
              <w:t>10</w:t>
            </w:r>
          </w:p>
        </w:tc>
      </w:tr>
      <w:tr w14:paraId="21EB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534" w:type="dxa"/>
            <w:vMerge w:val="continue"/>
            <w:tcBorders>
              <w:left w:val="single" w:color="auto" w:sz="4" w:space="0"/>
              <w:bottom w:val="single" w:color="auto" w:sz="4" w:space="0"/>
              <w:right w:val="single" w:color="auto" w:sz="4" w:space="0"/>
            </w:tcBorders>
            <w:vAlign w:val="center"/>
          </w:tcPr>
          <w:p w14:paraId="7D8358BE">
            <w:pPr>
              <w:spacing w:line="240" w:lineRule="auto"/>
              <w:ind w:firstLine="0"/>
              <w:jc w:val="center"/>
              <w:rPr>
                <w:color w:val="000000"/>
                <w:sz w:val="18"/>
                <w:szCs w:val="18"/>
              </w:rPr>
            </w:pPr>
          </w:p>
        </w:tc>
        <w:tc>
          <w:tcPr>
            <w:tcW w:w="992" w:type="dxa"/>
            <w:vMerge w:val="continue"/>
            <w:tcBorders>
              <w:left w:val="single" w:color="auto" w:sz="4" w:space="0"/>
              <w:bottom w:val="single" w:color="auto" w:sz="4" w:space="0"/>
              <w:right w:val="single" w:color="auto" w:sz="4" w:space="0"/>
            </w:tcBorders>
            <w:vAlign w:val="center"/>
          </w:tcPr>
          <w:p w14:paraId="32F06B02">
            <w:pPr>
              <w:spacing w:line="240" w:lineRule="auto"/>
              <w:ind w:firstLine="0"/>
              <w:rPr>
                <w:color w:val="000000"/>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4C45FA7A">
            <w:pPr>
              <w:spacing w:line="240" w:lineRule="auto"/>
              <w:ind w:firstLine="0"/>
              <w:jc w:val="center"/>
              <w:rPr>
                <w:color w:val="000000"/>
                <w:sz w:val="18"/>
                <w:szCs w:val="18"/>
              </w:rPr>
            </w:pPr>
            <w:bookmarkStart w:id="47" w:name="_Hlk170507366"/>
            <w:r>
              <w:rPr>
                <w:rFonts w:hint="eastAsia"/>
                <w:color w:val="000000"/>
                <w:sz w:val="18"/>
                <w:szCs w:val="18"/>
              </w:rPr>
              <w:t>孕穗期至</w:t>
            </w:r>
            <w:bookmarkEnd w:id="47"/>
            <w:r>
              <w:rPr>
                <w:rFonts w:hint="eastAsia"/>
                <w:color w:val="000000"/>
                <w:sz w:val="18"/>
                <w:szCs w:val="18"/>
              </w:rPr>
              <w:t>灌浆期</w:t>
            </w:r>
          </w:p>
        </w:tc>
        <w:tc>
          <w:tcPr>
            <w:tcW w:w="1012" w:type="dxa"/>
            <w:tcBorders>
              <w:top w:val="single" w:color="auto" w:sz="4" w:space="0"/>
              <w:left w:val="single" w:color="auto" w:sz="4" w:space="0"/>
              <w:bottom w:val="single" w:color="auto" w:sz="4" w:space="0"/>
              <w:right w:val="single" w:color="auto" w:sz="4" w:space="0"/>
            </w:tcBorders>
            <w:vAlign w:val="center"/>
          </w:tcPr>
          <w:p w14:paraId="33A6F07D">
            <w:pPr>
              <w:spacing w:line="240" w:lineRule="auto"/>
              <w:ind w:firstLine="0"/>
              <w:jc w:val="center"/>
              <w:rPr>
                <w:color w:val="000000"/>
                <w:sz w:val="18"/>
                <w:szCs w:val="18"/>
              </w:rPr>
            </w:pPr>
            <w:bookmarkStart w:id="48" w:name="_Hlk174888171"/>
            <w:r>
              <w:rPr>
                <w:rFonts w:hint="eastAsia"/>
                <w:color w:val="000000"/>
                <w:kern w:val="0"/>
                <w:sz w:val="18"/>
                <w:szCs w:val="18"/>
              </w:rPr>
              <w:t>田边表土发白，有细裂缝</w:t>
            </w:r>
            <w:bookmarkEnd w:id="48"/>
          </w:p>
        </w:tc>
        <w:tc>
          <w:tcPr>
            <w:tcW w:w="1068" w:type="dxa"/>
            <w:tcBorders>
              <w:top w:val="single" w:color="auto" w:sz="4" w:space="0"/>
              <w:left w:val="single" w:color="auto" w:sz="4" w:space="0"/>
              <w:bottom w:val="single" w:color="auto" w:sz="4" w:space="0"/>
              <w:right w:val="single" w:color="auto" w:sz="4" w:space="0"/>
            </w:tcBorders>
            <w:vAlign w:val="center"/>
          </w:tcPr>
          <w:p w14:paraId="2664C0E8">
            <w:pPr>
              <w:spacing w:line="240" w:lineRule="auto"/>
              <w:ind w:firstLine="0"/>
              <w:jc w:val="center"/>
              <w:rPr>
                <w:color w:val="000000"/>
                <w:sz w:val="18"/>
                <w:szCs w:val="18"/>
              </w:rPr>
            </w:pPr>
            <w:r>
              <w:rPr>
                <w:rFonts w:hint="eastAsia"/>
                <w:color w:val="000000"/>
                <w:sz w:val="18"/>
                <w:szCs w:val="18"/>
              </w:rPr>
              <w:t>田面水层</w:t>
            </w:r>
          </w:p>
          <w:p w14:paraId="0249416D">
            <w:pPr>
              <w:spacing w:line="240" w:lineRule="auto"/>
              <w:ind w:firstLine="0"/>
              <w:jc w:val="center"/>
              <w:rPr>
                <w:color w:val="000000"/>
                <w:sz w:val="18"/>
                <w:szCs w:val="18"/>
              </w:rPr>
            </w:pPr>
            <w:bookmarkStart w:id="49" w:name="_Hlk170507378"/>
            <w:r>
              <w:rPr>
                <w:rFonts w:hint="eastAsia"/>
                <w:color w:val="000000"/>
                <w:sz w:val="18"/>
                <w:szCs w:val="18"/>
              </w:rPr>
              <w:t>40</w:t>
            </w:r>
            <w:r>
              <w:rPr>
                <w:rFonts w:hint="eastAsia"/>
                <w:color w:val="000000"/>
                <w:kern w:val="0"/>
                <w:sz w:val="18"/>
                <w:szCs w:val="18"/>
              </w:rPr>
              <w:t>～</w:t>
            </w:r>
            <w:r>
              <w:rPr>
                <w:rFonts w:hint="eastAsia"/>
                <w:color w:val="000000"/>
                <w:sz w:val="18"/>
                <w:szCs w:val="18"/>
              </w:rPr>
              <w:t>60</w:t>
            </w:r>
            <w:r>
              <w:rPr>
                <w:color w:val="000000"/>
                <w:sz w:val="18"/>
                <w:szCs w:val="18"/>
              </w:rPr>
              <w:t xml:space="preserve"> mm</w:t>
            </w:r>
            <w:bookmarkEnd w:id="49"/>
          </w:p>
        </w:tc>
        <w:tc>
          <w:tcPr>
            <w:tcW w:w="1031" w:type="dxa"/>
            <w:tcBorders>
              <w:top w:val="single" w:color="auto" w:sz="4" w:space="0"/>
              <w:left w:val="single" w:color="auto" w:sz="4" w:space="0"/>
              <w:bottom w:val="single" w:color="auto" w:sz="4" w:space="0"/>
              <w:right w:val="single" w:color="auto" w:sz="4" w:space="0"/>
            </w:tcBorders>
            <w:vAlign w:val="center"/>
          </w:tcPr>
          <w:p w14:paraId="4F5FAE77">
            <w:pPr>
              <w:spacing w:line="240" w:lineRule="auto"/>
              <w:ind w:firstLine="0"/>
              <w:jc w:val="center"/>
              <w:rPr>
                <w:color w:val="000000"/>
                <w:sz w:val="18"/>
                <w:szCs w:val="18"/>
              </w:rPr>
            </w:pPr>
            <w:r>
              <w:rPr>
                <w:rFonts w:hint="eastAsia"/>
                <w:color w:val="000000"/>
                <w:sz w:val="18"/>
                <w:szCs w:val="18"/>
              </w:rPr>
              <w:t>43</w:t>
            </w:r>
            <w:r>
              <w:rPr>
                <w:rFonts w:hint="eastAsia"/>
                <w:color w:val="000000"/>
                <w:kern w:val="0"/>
                <w:sz w:val="18"/>
                <w:szCs w:val="18"/>
              </w:rPr>
              <w:t>～</w:t>
            </w:r>
            <w:r>
              <w:rPr>
                <w:rFonts w:hint="eastAsia"/>
                <w:color w:val="000000"/>
                <w:sz w:val="18"/>
                <w:szCs w:val="18"/>
              </w:rPr>
              <w:t>70</w:t>
            </w:r>
          </w:p>
        </w:tc>
        <w:tc>
          <w:tcPr>
            <w:tcW w:w="863" w:type="dxa"/>
            <w:tcBorders>
              <w:top w:val="single" w:color="auto" w:sz="4" w:space="0"/>
              <w:left w:val="single" w:color="auto" w:sz="4" w:space="0"/>
              <w:bottom w:val="single" w:color="auto" w:sz="4" w:space="0"/>
              <w:right w:val="single" w:color="auto" w:sz="4" w:space="0"/>
            </w:tcBorders>
            <w:vAlign w:val="center"/>
          </w:tcPr>
          <w:p w14:paraId="24B4EA18">
            <w:pPr>
              <w:spacing w:line="240" w:lineRule="auto"/>
              <w:ind w:firstLine="0"/>
              <w:jc w:val="center"/>
              <w:rPr>
                <w:color w:val="000000"/>
                <w:sz w:val="18"/>
                <w:szCs w:val="18"/>
              </w:rPr>
            </w:pPr>
            <w:r>
              <w:rPr>
                <w:rFonts w:hint="eastAsia"/>
                <w:color w:val="000000"/>
                <w:sz w:val="18"/>
                <w:szCs w:val="18"/>
              </w:rPr>
              <w:t>10</w:t>
            </w:r>
            <w:r>
              <w:rPr>
                <w:rFonts w:hint="eastAsia"/>
                <w:color w:val="000000"/>
                <w:kern w:val="0"/>
                <w:sz w:val="18"/>
                <w:szCs w:val="18"/>
              </w:rPr>
              <w:t>～</w:t>
            </w:r>
            <w:r>
              <w:rPr>
                <w:rFonts w:hint="eastAsia"/>
                <w:color w:val="000000"/>
                <w:sz w:val="18"/>
                <w:szCs w:val="18"/>
              </w:rPr>
              <w:t>12</w:t>
            </w:r>
          </w:p>
        </w:tc>
        <w:tc>
          <w:tcPr>
            <w:tcW w:w="952" w:type="dxa"/>
            <w:tcBorders>
              <w:top w:val="single" w:color="auto" w:sz="4" w:space="0"/>
              <w:left w:val="single" w:color="auto" w:sz="4" w:space="0"/>
              <w:bottom w:val="single" w:color="auto" w:sz="4" w:space="0"/>
              <w:right w:val="single" w:color="auto" w:sz="4" w:space="0"/>
            </w:tcBorders>
            <w:vAlign w:val="center"/>
          </w:tcPr>
          <w:p w14:paraId="4B85638C">
            <w:pPr>
              <w:spacing w:line="240" w:lineRule="auto"/>
              <w:ind w:firstLine="0"/>
              <w:jc w:val="center"/>
              <w:rPr>
                <w:color w:val="000000"/>
                <w:sz w:val="18"/>
                <w:szCs w:val="18"/>
              </w:rPr>
            </w:pPr>
            <w:r>
              <w:rPr>
                <w:rFonts w:hint="eastAsia"/>
                <w:color w:val="000000"/>
                <w:sz w:val="18"/>
                <w:szCs w:val="18"/>
              </w:rPr>
              <w:t>11</w:t>
            </w:r>
            <w:r>
              <w:rPr>
                <w:rFonts w:hint="eastAsia"/>
                <w:color w:val="000000"/>
                <w:kern w:val="0"/>
                <w:sz w:val="18"/>
                <w:szCs w:val="18"/>
              </w:rPr>
              <w:t>～</w:t>
            </w:r>
            <w:r>
              <w:rPr>
                <w:rFonts w:hint="eastAsia"/>
                <w:color w:val="000000"/>
                <w:sz w:val="18"/>
                <w:szCs w:val="18"/>
              </w:rPr>
              <w:t>13</w:t>
            </w:r>
          </w:p>
        </w:tc>
        <w:tc>
          <w:tcPr>
            <w:tcW w:w="1022" w:type="dxa"/>
            <w:tcBorders>
              <w:top w:val="single" w:color="auto" w:sz="4" w:space="0"/>
              <w:left w:val="single" w:color="auto" w:sz="4" w:space="0"/>
              <w:bottom w:val="single" w:color="auto" w:sz="4" w:space="0"/>
              <w:right w:val="single" w:color="auto" w:sz="4" w:space="0"/>
            </w:tcBorders>
            <w:vAlign w:val="center"/>
          </w:tcPr>
          <w:p w14:paraId="5748E0FA">
            <w:pPr>
              <w:spacing w:line="240" w:lineRule="auto"/>
              <w:ind w:firstLine="0"/>
              <w:jc w:val="center"/>
              <w:rPr>
                <w:color w:val="000000"/>
                <w:sz w:val="18"/>
                <w:szCs w:val="18"/>
              </w:rPr>
            </w:pPr>
            <w:r>
              <w:rPr>
                <w:rFonts w:hint="eastAsia"/>
                <w:color w:val="000000"/>
                <w:sz w:val="18"/>
                <w:szCs w:val="18"/>
              </w:rPr>
              <w:t>12</w:t>
            </w:r>
            <w:r>
              <w:rPr>
                <w:rFonts w:hint="eastAsia"/>
                <w:color w:val="000000"/>
                <w:kern w:val="0"/>
                <w:sz w:val="18"/>
                <w:szCs w:val="18"/>
              </w:rPr>
              <w:t>～</w:t>
            </w:r>
            <w:r>
              <w:rPr>
                <w:rFonts w:hint="eastAsia"/>
                <w:color w:val="000000"/>
                <w:sz w:val="18"/>
                <w:szCs w:val="18"/>
              </w:rPr>
              <w:t>14</w:t>
            </w:r>
          </w:p>
        </w:tc>
      </w:tr>
      <w:tr w14:paraId="1A23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534" w:type="dxa"/>
            <w:vMerge w:val="restart"/>
            <w:tcBorders>
              <w:top w:val="single" w:color="auto" w:sz="4" w:space="0"/>
              <w:left w:val="single" w:color="auto" w:sz="4" w:space="0"/>
              <w:right w:val="single" w:color="auto" w:sz="4" w:space="0"/>
            </w:tcBorders>
            <w:vAlign w:val="center"/>
          </w:tcPr>
          <w:p w14:paraId="6C0A1C5D">
            <w:pPr>
              <w:spacing w:line="240" w:lineRule="auto"/>
              <w:ind w:firstLine="0"/>
              <w:jc w:val="center"/>
              <w:rPr>
                <w:color w:val="000000"/>
                <w:sz w:val="18"/>
                <w:szCs w:val="18"/>
              </w:rPr>
            </w:pPr>
            <w:r>
              <w:rPr>
                <w:rFonts w:hint="eastAsia"/>
                <w:color w:val="000000"/>
                <w:sz w:val="18"/>
                <w:szCs w:val="18"/>
              </w:rPr>
              <w:t>晚稻季</w:t>
            </w:r>
          </w:p>
        </w:tc>
        <w:tc>
          <w:tcPr>
            <w:tcW w:w="992" w:type="dxa"/>
            <w:tcBorders>
              <w:top w:val="single" w:color="auto" w:sz="4" w:space="0"/>
              <w:left w:val="single" w:color="auto" w:sz="4" w:space="0"/>
              <w:bottom w:val="single" w:color="auto" w:sz="4" w:space="0"/>
              <w:right w:val="single" w:color="auto" w:sz="4" w:space="0"/>
            </w:tcBorders>
            <w:vAlign w:val="center"/>
          </w:tcPr>
          <w:p w14:paraId="5AEF07AE">
            <w:pPr>
              <w:spacing w:line="240" w:lineRule="auto"/>
              <w:ind w:firstLine="0"/>
              <w:jc w:val="center"/>
              <w:rPr>
                <w:color w:val="000000"/>
                <w:sz w:val="18"/>
                <w:szCs w:val="18"/>
              </w:rPr>
            </w:pPr>
            <w:r>
              <w:rPr>
                <w:rFonts w:hint="eastAsia"/>
                <w:color w:val="000000"/>
                <w:sz w:val="18"/>
                <w:szCs w:val="18"/>
              </w:rPr>
              <w:t>移栽稻/湿直播稻</w:t>
            </w:r>
          </w:p>
        </w:tc>
        <w:tc>
          <w:tcPr>
            <w:tcW w:w="1048" w:type="dxa"/>
            <w:tcBorders>
              <w:top w:val="single" w:color="auto" w:sz="4" w:space="0"/>
              <w:left w:val="single" w:color="auto" w:sz="4" w:space="0"/>
              <w:bottom w:val="single" w:color="auto" w:sz="4" w:space="0"/>
              <w:right w:val="single" w:color="auto" w:sz="4" w:space="0"/>
            </w:tcBorders>
            <w:vAlign w:val="center"/>
          </w:tcPr>
          <w:p w14:paraId="1F068DA2">
            <w:pPr>
              <w:spacing w:line="240" w:lineRule="auto"/>
              <w:ind w:firstLine="0"/>
              <w:jc w:val="center"/>
              <w:rPr>
                <w:color w:val="000000"/>
                <w:sz w:val="18"/>
                <w:szCs w:val="18"/>
              </w:rPr>
            </w:pPr>
            <w:r>
              <w:rPr>
                <w:rFonts w:hint="eastAsia"/>
                <w:color w:val="000000"/>
                <w:sz w:val="18"/>
                <w:szCs w:val="18"/>
              </w:rPr>
              <w:t>泡田期</w:t>
            </w:r>
          </w:p>
        </w:tc>
        <w:tc>
          <w:tcPr>
            <w:tcW w:w="1012" w:type="dxa"/>
            <w:tcBorders>
              <w:top w:val="single" w:color="auto" w:sz="4" w:space="0"/>
              <w:left w:val="single" w:color="auto" w:sz="4" w:space="0"/>
              <w:bottom w:val="single" w:color="auto" w:sz="4" w:space="0"/>
              <w:right w:val="single" w:color="auto" w:sz="4" w:space="0"/>
            </w:tcBorders>
            <w:vAlign w:val="center"/>
          </w:tcPr>
          <w:p w14:paraId="59743726">
            <w:pPr>
              <w:spacing w:line="240" w:lineRule="auto"/>
              <w:ind w:firstLine="0"/>
              <w:jc w:val="center"/>
              <w:rPr>
                <w:color w:val="000000"/>
                <w:sz w:val="18"/>
                <w:szCs w:val="18"/>
              </w:rPr>
            </w:pPr>
            <w:r>
              <w:rPr>
                <w:rFonts w:hint="eastAsia"/>
                <w:color w:val="000000"/>
                <w:sz w:val="18"/>
                <w:szCs w:val="18"/>
              </w:rPr>
              <w:t>田面水层</w:t>
            </w:r>
          </w:p>
          <w:p w14:paraId="5A748897">
            <w:pPr>
              <w:spacing w:line="240" w:lineRule="auto"/>
              <w:ind w:firstLine="0"/>
              <w:jc w:val="center"/>
              <w:rPr>
                <w:color w:val="000000"/>
                <w:sz w:val="18"/>
                <w:szCs w:val="18"/>
              </w:rPr>
            </w:pPr>
            <w:r>
              <w:rPr>
                <w:rFonts w:hint="eastAsia"/>
                <w:color w:val="000000"/>
                <w:sz w:val="18"/>
                <w:szCs w:val="18"/>
              </w:rPr>
              <w:t>10</w:t>
            </w:r>
            <w:r>
              <w:rPr>
                <w:color w:val="000000"/>
                <w:sz w:val="18"/>
                <w:szCs w:val="18"/>
              </w:rPr>
              <w:t xml:space="preserve"> mm</w:t>
            </w:r>
          </w:p>
        </w:tc>
        <w:tc>
          <w:tcPr>
            <w:tcW w:w="1068" w:type="dxa"/>
            <w:tcBorders>
              <w:top w:val="single" w:color="auto" w:sz="4" w:space="0"/>
              <w:left w:val="single" w:color="auto" w:sz="4" w:space="0"/>
              <w:bottom w:val="single" w:color="auto" w:sz="4" w:space="0"/>
              <w:right w:val="single" w:color="auto" w:sz="4" w:space="0"/>
            </w:tcBorders>
            <w:vAlign w:val="center"/>
          </w:tcPr>
          <w:p w14:paraId="43A8F640">
            <w:pPr>
              <w:spacing w:line="240" w:lineRule="auto"/>
              <w:ind w:firstLine="0"/>
              <w:jc w:val="center"/>
              <w:rPr>
                <w:color w:val="000000"/>
                <w:sz w:val="18"/>
                <w:szCs w:val="18"/>
              </w:rPr>
            </w:pPr>
            <w:r>
              <w:rPr>
                <w:rFonts w:hint="eastAsia"/>
                <w:color w:val="000000"/>
                <w:sz w:val="18"/>
                <w:szCs w:val="18"/>
              </w:rPr>
              <w:t>田面水层</w:t>
            </w:r>
          </w:p>
          <w:p w14:paraId="43FBD695">
            <w:pPr>
              <w:spacing w:line="240" w:lineRule="auto"/>
              <w:ind w:firstLine="0"/>
              <w:jc w:val="center"/>
              <w:rPr>
                <w:color w:val="000000"/>
                <w:sz w:val="18"/>
                <w:szCs w:val="18"/>
              </w:rPr>
            </w:pPr>
            <w:r>
              <w:rPr>
                <w:rFonts w:hint="eastAsia"/>
                <w:color w:val="000000"/>
                <w:sz w:val="18"/>
                <w:szCs w:val="18"/>
              </w:rPr>
              <w:t>30</w:t>
            </w:r>
            <w:r>
              <w:rPr>
                <w:color w:val="000000"/>
                <w:sz w:val="18"/>
                <w:szCs w:val="18"/>
              </w:rPr>
              <w:t xml:space="preserve"> mm</w:t>
            </w:r>
          </w:p>
        </w:tc>
        <w:tc>
          <w:tcPr>
            <w:tcW w:w="1031" w:type="dxa"/>
            <w:tcBorders>
              <w:top w:val="single" w:color="auto" w:sz="4" w:space="0"/>
              <w:left w:val="single" w:color="auto" w:sz="4" w:space="0"/>
              <w:bottom w:val="single" w:color="auto" w:sz="4" w:space="0"/>
              <w:right w:val="single" w:color="auto" w:sz="4" w:space="0"/>
            </w:tcBorders>
            <w:vAlign w:val="center"/>
          </w:tcPr>
          <w:p w14:paraId="2F63EA19">
            <w:pPr>
              <w:spacing w:line="240" w:lineRule="auto"/>
              <w:ind w:firstLine="0"/>
              <w:jc w:val="center"/>
              <w:rPr>
                <w:color w:val="000000"/>
                <w:sz w:val="18"/>
                <w:szCs w:val="18"/>
              </w:rPr>
            </w:pPr>
            <w:r>
              <w:rPr>
                <w:rFonts w:hint="eastAsia"/>
                <w:color w:val="000000"/>
                <w:sz w:val="18"/>
                <w:szCs w:val="18"/>
              </w:rPr>
              <w:t>13</w:t>
            </w:r>
          </w:p>
        </w:tc>
        <w:tc>
          <w:tcPr>
            <w:tcW w:w="863" w:type="dxa"/>
            <w:tcBorders>
              <w:top w:val="single" w:color="auto" w:sz="4" w:space="0"/>
              <w:left w:val="single" w:color="auto" w:sz="4" w:space="0"/>
              <w:bottom w:val="single" w:color="auto" w:sz="4" w:space="0"/>
              <w:right w:val="single" w:color="auto" w:sz="4" w:space="0"/>
            </w:tcBorders>
            <w:vAlign w:val="center"/>
          </w:tcPr>
          <w:p w14:paraId="27187E00">
            <w:pPr>
              <w:spacing w:line="240" w:lineRule="auto"/>
              <w:ind w:firstLine="0"/>
              <w:jc w:val="center"/>
              <w:rPr>
                <w:color w:val="000000"/>
                <w:sz w:val="18"/>
                <w:szCs w:val="18"/>
              </w:rPr>
            </w:pPr>
            <w:r>
              <w:rPr>
                <w:color w:val="000000"/>
                <w:sz w:val="18"/>
                <w:szCs w:val="18"/>
              </w:rPr>
              <w:t>3</w:t>
            </w:r>
            <w:r>
              <w:rPr>
                <w:rFonts w:hint="eastAsia"/>
                <w:color w:val="000000"/>
                <w:kern w:val="0"/>
                <w:sz w:val="18"/>
                <w:szCs w:val="18"/>
              </w:rPr>
              <w:t>～</w:t>
            </w:r>
            <w:r>
              <w:rPr>
                <w:rFonts w:hint="eastAsia"/>
                <w:color w:val="000000"/>
                <w:sz w:val="18"/>
                <w:szCs w:val="18"/>
              </w:rPr>
              <w:t>5</w:t>
            </w:r>
          </w:p>
        </w:tc>
        <w:tc>
          <w:tcPr>
            <w:tcW w:w="952" w:type="dxa"/>
            <w:tcBorders>
              <w:top w:val="single" w:color="auto" w:sz="4" w:space="0"/>
              <w:left w:val="single" w:color="auto" w:sz="4" w:space="0"/>
              <w:bottom w:val="single" w:color="auto" w:sz="4" w:space="0"/>
              <w:right w:val="single" w:color="auto" w:sz="4" w:space="0"/>
            </w:tcBorders>
            <w:vAlign w:val="center"/>
          </w:tcPr>
          <w:p w14:paraId="71A69353">
            <w:pPr>
              <w:spacing w:line="240" w:lineRule="auto"/>
              <w:ind w:firstLine="0"/>
              <w:jc w:val="center"/>
              <w:rPr>
                <w:color w:val="000000"/>
                <w:sz w:val="18"/>
                <w:szCs w:val="18"/>
              </w:rPr>
            </w:pPr>
            <w:r>
              <w:rPr>
                <w:color w:val="000000"/>
                <w:sz w:val="18"/>
                <w:szCs w:val="18"/>
              </w:rPr>
              <w:t>3</w:t>
            </w:r>
            <w:r>
              <w:rPr>
                <w:rFonts w:hint="eastAsia"/>
                <w:color w:val="000000"/>
                <w:kern w:val="0"/>
                <w:sz w:val="18"/>
                <w:szCs w:val="18"/>
              </w:rPr>
              <w:t>～</w:t>
            </w:r>
            <w:r>
              <w:rPr>
                <w:rFonts w:hint="eastAsia"/>
                <w:color w:val="000000"/>
                <w:sz w:val="18"/>
                <w:szCs w:val="18"/>
              </w:rPr>
              <w:t>5</w:t>
            </w:r>
          </w:p>
        </w:tc>
        <w:tc>
          <w:tcPr>
            <w:tcW w:w="1022" w:type="dxa"/>
            <w:tcBorders>
              <w:top w:val="single" w:color="auto" w:sz="4" w:space="0"/>
              <w:left w:val="single" w:color="auto" w:sz="4" w:space="0"/>
              <w:bottom w:val="single" w:color="auto" w:sz="4" w:space="0"/>
              <w:right w:val="single" w:color="auto" w:sz="4" w:space="0"/>
            </w:tcBorders>
            <w:vAlign w:val="center"/>
          </w:tcPr>
          <w:p w14:paraId="1E6EC261">
            <w:pPr>
              <w:spacing w:line="240" w:lineRule="auto"/>
              <w:ind w:firstLine="0"/>
              <w:jc w:val="center"/>
              <w:rPr>
                <w:color w:val="000000"/>
                <w:sz w:val="18"/>
                <w:szCs w:val="18"/>
              </w:rPr>
            </w:pPr>
            <w:r>
              <w:rPr>
                <w:color w:val="000000"/>
                <w:sz w:val="18"/>
                <w:szCs w:val="18"/>
              </w:rPr>
              <w:t>3</w:t>
            </w:r>
            <w:r>
              <w:rPr>
                <w:rFonts w:hint="eastAsia"/>
                <w:color w:val="000000"/>
                <w:kern w:val="0"/>
                <w:sz w:val="18"/>
                <w:szCs w:val="18"/>
              </w:rPr>
              <w:t>～</w:t>
            </w:r>
            <w:r>
              <w:rPr>
                <w:rFonts w:hint="eastAsia"/>
                <w:color w:val="000000"/>
                <w:sz w:val="18"/>
                <w:szCs w:val="18"/>
              </w:rPr>
              <w:t>5</w:t>
            </w:r>
          </w:p>
        </w:tc>
      </w:tr>
      <w:tr w14:paraId="0391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534" w:type="dxa"/>
            <w:vMerge w:val="continue"/>
            <w:tcBorders>
              <w:left w:val="single" w:color="auto" w:sz="4" w:space="0"/>
              <w:right w:val="single" w:color="auto" w:sz="4" w:space="0"/>
            </w:tcBorders>
            <w:vAlign w:val="center"/>
          </w:tcPr>
          <w:p w14:paraId="66BDE0CE">
            <w:pPr>
              <w:spacing w:line="240" w:lineRule="auto"/>
              <w:ind w:firstLine="0"/>
              <w:jc w:val="center"/>
              <w:rPr>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1D66397F">
            <w:pPr>
              <w:spacing w:line="240" w:lineRule="auto"/>
              <w:ind w:firstLine="0"/>
              <w:jc w:val="center"/>
              <w:rPr>
                <w:color w:val="000000"/>
                <w:sz w:val="18"/>
                <w:szCs w:val="18"/>
              </w:rPr>
            </w:pPr>
            <w:r>
              <w:rPr>
                <w:rFonts w:hint="eastAsia"/>
                <w:color w:val="000000"/>
                <w:sz w:val="18"/>
                <w:szCs w:val="18"/>
              </w:rPr>
              <w:t>移栽稻</w:t>
            </w:r>
          </w:p>
        </w:tc>
        <w:tc>
          <w:tcPr>
            <w:tcW w:w="1048" w:type="dxa"/>
            <w:tcBorders>
              <w:top w:val="single" w:color="auto" w:sz="4" w:space="0"/>
              <w:left w:val="single" w:color="auto" w:sz="4" w:space="0"/>
              <w:bottom w:val="single" w:color="auto" w:sz="4" w:space="0"/>
              <w:right w:val="single" w:color="auto" w:sz="4" w:space="0"/>
            </w:tcBorders>
            <w:vAlign w:val="center"/>
          </w:tcPr>
          <w:p w14:paraId="75B87DDF">
            <w:pPr>
              <w:spacing w:line="240" w:lineRule="auto"/>
              <w:ind w:firstLine="0"/>
              <w:jc w:val="center"/>
              <w:rPr>
                <w:color w:val="000000"/>
                <w:sz w:val="18"/>
                <w:szCs w:val="18"/>
              </w:rPr>
            </w:pPr>
            <w:r>
              <w:rPr>
                <w:rFonts w:hint="eastAsia"/>
                <w:color w:val="000000"/>
                <w:sz w:val="18"/>
                <w:szCs w:val="18"/>
              </w:rPr>
              <w:t>返青期</w:t>
            </w:r>
          </w:p>
        </w:tc>
        <w:tc>
          <w:tcPr>
            <w:tcW w:w="1012" w:type="dxa"/>
            <w:tcBorders>
              <w:top w:val="single" w:color="auto" w:sz="4" w:space="0"/>
              <w:left w:val="single" w:color="auto" w:sz="4" w:space="0"/>
              <w:bottom w:val="single" w:color="auto" w:sz="4" w:space="0"/>
              <w:right w:val="single" w:color="auto" w:sz="4" w:space="0"/>
            </w:tcBorders>
            <w:vAlign w:val="center"/>
          </w:tcPr>
          <w:p w14:paraId="41C1D1D1">
            <w:pPr>
              <w:spacing w:line="240" w:lineRule="auto"/>
              <w:ind w:firstLine="0"/>
              <w:jc w:val="center"/>
              <w:rPr>
                <w:color w:val="000000"/>
                <w:sz w:val="18"/>
                <w:szCs w:val="18"/>
              </w:rPr>
            </w:pPr>
            <w:r>
              <w:rPr>
                <w:rFonts w:hint="eastAsia"/>
                <w:color w:val="000000"/>
                <w:sz w:val="18"/>
                <w:szCs w:val="18"/>
              </w:rPr>
              <w:t>田面水层</w:t>
            </w:r>
          </w:p>
          <w:p w14:paraId="439B17DE">
            <w:pPr>
              <w:spacing w:line="240" w:lineRule="auto"/>
              <w:ind w:firstLine="0"/>
              <w:jc w:val="center"/>
              <w:rPr>
                <w:color w:val="000000"/>
                <w:sz w:val="18"/>
                <w:szCs w:val="18"/>
              </w:rPr>
            </w:pPr>
            <w:r>
              <w:rPr>
                <w:color w:val="000000"/>
                <w:sz w:val="18"/>
                <w:szCs w:val="18"/>
              </w:rPr>
              <w:t>5 mm</w:t>
            </w:r>
          </w:p>
        </w:tc>
        <w:tc>
          <w:tcPr>
            <w:tcW w:w="1068" w:type="dxa"/>
            <w:tcBorders>
              <w:top w:val="single" w:color="auto" w:sz="4" w:space="0"/>
              <w:left w:val="single" w:color="auto" w:sz="4" w:space="0"/>
              <w:bottom w:val="single" w:color="auto" w:sz="4" w:space="0"/>
              <w:right w:val="single" w:color="auto" w:sz="4" w:space="0"/>
            </w:tcBorders>
            <w:vAlign w:val="center"/>
          </w:tcPr>
          <w:p w14:paraId="2FEF6A6E">
            <w:pPr>
              <w:spacing w:line="240" w:lineRule="auto"/>
              <w:ind w:firstLine="0"/>
              <w:jc w:val="center"/>
              <w:rPr>
                <w:color w:val="000000"/>
                <w:sz w:val="18"/>
                <w:szCs w:val="18"/>
              </w:rPr>
            </w:pPr>
            <w:r>
              <w:rPr>
                <w:rFonts w:hint="eastAsia"/>
                <w:color w:val="000000"/>
                <w:sz w:val="18"/>
                <w:szCs w:val="18"/>
              </w:rPr>
              <w:t>田面水层</w:t>
            </w:r>
          </w:p>
          <w:p w14:paraId="0ED2BC14">
            <w:pPr>
              <w:spacing w:line="240" w:lineRule="auto"/>
              <w:ind w:firstLine="0"/>
              <w:jc w:val="center"/>
              <w:rPr>
                <w:color w:val="000000"/>
                <w:sz w:val="18"/>
                <w:szCs w:val="18"/>
              </w:rPr>
            </w:pPr>
            <w:r>
              <w:rPr>
                <w:color w:val="000000"/>
                <w:sz w:val="18"/>
                <w:szCs w:val="18"/>
              </w:rPr>
              <w:t>20</w:t>
            </w:r>
            <w:r>
              <w:rPr>
                <w:rFonts w:hint="eastAsia"/>
                <w:color w:val="000000"/>
                <w:kern w:val="0"/>
                <w:sz w:val="18"/>
                <w:szCs w:val="18"/>
              </w:rPr>
              <w:t>～</w:t>
            </w:r>
            <w:r>
              <w:rPr>
                <w:color w:val="000000"/>
                <w:sz w:val="18"/>
                <w:szCs w:val="18"/>
              </w:rPr>
              <w:t>40 mm</w:t>
            </w:r>
          </w:p>
        </w:tc>
        <w:tc>
          <w:tcPr>
            <w:tcW w:w="1031" w:type="dxa"/>
            <w:tcBorders>
              <w:top w:val="single" w:color="auto" w:sz="4" w:space="0"/>
              <w:left w:val="single" w:color="auto" w:sz="4" w:space="0"/>
              <w:bottom w:val="single" w:color="auto" w:sz="4" w:space="0"/>
              <w:right w:val="single" w:color="auto" w:sz="4" w:space="0"/>
            </w:tcBorders>
            <w:vAlign w:val="center"/>
          </w:tcPr>
          <w:p w14:paraId="458614FF">
            <w:pPr>
              <w:spacing w:line="240" w:lineRule="auto"/>
              <w:ind w:firstLine="0"/>
              <w:jc w:val="center"/>
              <w:rPr>
                <w:color w:val="000000"/>
                <w:sz w:val="18"/>
                <w:szCs w:val="18"/>
              </w:rPr>
            </w:pPr>
            <w:r>
              <w:rPr>
                <w:color w:val="000000"/>
                <w:sz w:val="18"/>
                <w:szCs w:val="18"/>
              </w:rPr>
              <w:t>10</w:t>
            </w:r>
            <w:r>
              <w:rPr>
                <w:rFonts w:hint="eastAsia"/>
                <w:color w:val="000000"/>
                <w:kern w:val="0"/>
                <w:sz w:val="18"/>
                <w:szCs w:val="18"/>
              </w:rPr>
              <w:t>～</w:t>
            </w:r>
            <w:r>
              <w:rPr>
                <w:rFonts w:hint="eastAsia"/>
                <w:color w:val="000000"/>
                <w:sz w:val="18"/>
                <w:szCs w:val="18"/>
              </w:rPr>
              <w:t>2</w:t>
            </w:r>
            <w:r>
              <w:rPr>
                <w:color w:val="000000"/>
                <w:sz w:val="18"/>
                <w:szCs w:val="18"/>
              </w:rPr>
              <w:t>3</w:t>
            </w:r>
          </w:p>
        </w:tc>
        <w:tc>
          <w:tcPr>
            <w:tcW w:w="863" w:type="dxa"/>
            <w:tcBorders>
              <w:top w:val="single" w:color="auto" w:sz="4" w:space="0"/>
              <w:left w:val="single" w:color="auto" w:sz="4" w:space="0"/>
              <w:bottom w:val="single" w:color="auto" w:sz="4" w:space="0"/>
              <w:right w:val="single" w:color="auto" w:sz="4" w:space="0"/>
            </w:tcBorders>
            <w:vAlign w:val="center"/>
          </w:tcPr>
          <w:p w14:paraId="43E04A49">
            <w:pPr>
              <w:spacing w:line="240" w:lineRule="auto"/>
              <w:ind w:firstLine="0"/>
              <w:jc w:val="center"/>
              <w:rPr>
                <w:color w:val="000000"/>
                <w:sz w:val="18"/>
                <w:szCs w:val="18"/>
              </w:rPr>
            </w:pPr>
            <w:r>
              <w:rPr>
                <w:rFonts w:hint="eastAsia"/>
                <w:color w:val="000000"/>
                <w:sz w:val="18"/>
                <w:szCs w:val="18"/>
              </w:rPr>
              <w:t>2</w:t>
            </w:r>
            <w:r>
              <w:rPr>
                <w:rFonts w:hint="eastAsia"/>
                <w:color w:val="000000"/>
                <w:kern w:val="0"/>
                <w:sz w:val="18"/>
                <w:szCs w:val="18"/>
              </w:rPr>
              <w:t>～</w:t>
            </w:r>
            <w:r>
              <w:rPr>
                <w:rFonts w:hint="eastAsia"/>
                <w:color w:val="000000"/>
                <w:sz w:val="18"/>
                <w:szCs w:val="18"/>
              </w:rPr>
              <w:t>4</w:t>
            </w:r>
          </w:p>
        </w:tc>
        <w:tc>
          <w:tcPr>
            <w:tcW w:w="952" w:type="dxa"/>
            <w:tcBorders>
              <w:top w:val="single" w:color="auto" w:sz="4" w:space="0"/>
              <w:left w:val="single" w:color="auto" w:sz="4" w:space="0"/>
              <w:bottom w:val="single" w:color="auto" w:sz="4" w:space="0"/>
              <w:right w:val="single" w:color="auto" w:sz="4" w:space="0"/>
            </w:tcBorders>
            <w:vAlign w:val="center"/>
          </w:tcPr>
          <w:p w14:paraId="0E8EAF95">
            <w:pPr>
              <w:spacing w:line="240" w:lineRule="auto"/>
              <w:ind w:firstLine="0"/>
              <w:jc w:val="center"/>
              <w:rPr>
                <w:color w:val="000000"/>
                <w:sz w:val="18"/>
                <w:szCs w:val="18"/>
              </w:rPr>
            </w:pPr>
            <w:r>
              <w:rPr>
                <w:rFonts w:hint="eastAsia"/>
                <w:color w:val="000000"/>
                <w:sz w:val="18"/>
                <w:szCs w:val="18"/>
              </w:rPr>
              <w:t>3</w:t>
            </w:r>
            <w:r>
              <w:rPr>
                <w:rFonts w:hint="eastAsia"/>
                <w:color w:val="000000"/>
                <w:kern w:val="0"/>
                <w:sz w:val="18"/>
                <w:szCs w:val="18"/>
              </w:rPr>
              <w:t>～</w:t>
            </w:r>
            <w:r>
              <w:rPr>
                <w:rFonts w:hint="eastAsia"/>
                <w:color w:val="000000"/>
                <w:sz w:val="18"/>
                <w:szCs w:val="18"/>
              </w:rPr>
              <w:t>5</w:t>
            </w:r>
          </w:p>
        </w:tc>
        <w:tc>
          <w:tcPr>
            <w:tcW w:w="1022" w:type="dxa"/>
            <w:tcBorders>
              <w:top w:val="single" w:color="auto" w:sz="4" w:space="0"/>
              <w:left w:val="single" w:color="auto" w:sz="4" w:space="0"/>
              <w:bottom w:val="single" w:color="auto" w:sz="4" w:space="0"/>
              <w:right w:val="single" w:color="auto" w:sz="4" w:space="0"/>
            </w:tcBorders>
            <w:vAlign w:val="center"/>
          </w:tcPr>
          <w:p w14:paraId="12F2B189">
            <w:pPr>
              <w:spacing w:line="240" w:lineRule="auto"/>
              <w:ind w:firstLine="0"/>
              <w:jc w:val="center"/>
              <w:rPr>
                <w:color w:val="000000"/>
                <w:sz w:val="18"/>
                <w:szCs w:val="18"/>
              </w:rPr>
            </w:pPr>
            <w:r>
              <w:rPr>
                <w:rFonts w:hint="eastAsia"/>
                <w:color w:val="000000"/>
                <w:sz w:val="18"/>
                <w:szCs w:val="18"/>
              </w:rPr>
              <w:t>4</w:t>
            </w:r>
            <w:r>
              <w:rPr>
                <w:rFonts w:hint="eastAsia"/>
                <w:color w:val="000000"/>
                <w:kern w:val="0"/>
                <w:sz w:val="18"/>
                <w:szCs w:val="18"/>
              </w:rPr>
              <w:t>～</w:t>
            </w:r>
            <w:r>
              <w:rPr>
                <w:rFonts w:hint="eastAsia"/>
                <w:color w:val="000000"/>
                <w:sz w:val="18"/>
                <w:szCs w:val="18"/>
              </w:rPr>
              <w:t>6</w:t>
            </w:r>
          </w:p>
        </w:tc>
      </w:tr>
      <w:tr w14:paraId="70DB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534" w:type="dxa"/>
            <w:vMerge w:val="continue"/>
            <w:tcBorders>
              <w:left w:val="single" w:color="auto" w:sz="4" w:space="0"/>
              <w:right w:val="single" w:color="auto" w:sz="4" w:space="0"/>
            </w:tcBorders>
            <w:vAlign w:val="center"/>
          </w:tcPr>
          <w:p w14:paraId="0343F21F">
            <w:pPr>
              <w:spacing w:line="240" w:lineRule="auto"/>
              <w:ind w:firstLine="0"/>
              <w:jc w:val="center"/>
              <w:rPr>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60AC36AC">
            <w:pPr>
              <w:spacing w:line="240" w:lineRule="auto"/>
              <w:ind w:firstLine="0"/>
              <w:jc w:val="center"/>
              <w:rPr>
                <w:color w:val="000000"/>
                <w:sz w:val="18"/>
                <w:szCs w:val="18"/>
              </w:rPr>
            </w:pPr>
            <w:r>
              <w:rPr>
                <w:rFonts w:hint="eastAsia"/>
                <w:color w:val="000000"/>
                <w:sz w:val="18"/>
                <w:szCs w:val="18"/>
              </w:rPr>
              <w:t>湿/旱直播稻</w:t>
            </w:r>
          </w:p>
        </w:tc>
        <w:tc>
          <w:tcPr>
            <w:tcW w:w="1048" w:type="dxa"/>
            <w:tcBorders>
              <w:top w:val="single" w:color="auto" w:sz="4" w:space="0"/>
              <w:left w:val="single" w:color="auto" w:sz="4" w:space="0"/>
              <w:bottom w:val="single" w:color="auto" w:sz="4" w:space="0"/>
              <w:right w:val="single" w:color="auto" w:sz="4" w:space="0"/>
            </w:tcBorders>
            <w:vAlign w:val="center"/>
          </w:tcPr>
          <w:p w14:paraId="49BA5328">
            <w:pPr>
              <w:spacing w:line="240" w:lineRule="auto"/>
              <w:ind w:firstLine="0"/>
              <w:jc w:val="center"/>
              <w:rPr>
                <w:color w:val="000000"/>
                <w:sz w:val="18"/>
                <w:szCs w:val="18"/>
              </w:rPr>
            </w:pPr>
            <w:r>
              <w:rPr>
                <w:rFonts w:hint="eastAsia"/>
                <w:color w:val="000000"/>
                <w:sz w:val="18"/>
                <w:szCs w:val="18"/>
              </w:rPr>
              <w:t>播种至三叶期</w:t>
            </w:r>
          </w:p>
        </w:tc>
        <w:tc>
          <w:tcPr>
            <w:tcW w:w="1012" w:type="dxa"/>
            <w:tcBorders>
              <w:top w:val="single" w:color="auto" w:sz="4" w:space="0"/>
              <w:left w:val="single" w:color="auto" w:sz="4" w:space="0"/>
              <w:bottom w:val="single" w:color="auto" w:sz="4" w:space="0"/>
              <w:right w:val="single" w:color="auto" w:sz="4" w:space="0"/>
            </w:tcBorders>
            <w:vAlign w:val="center"/>
          </w:tcPr>
          <w:p w14:paraId="0C14FAE1">
            <w:pPr>
              <w:spacing w:line="240" w:lineRule="auto"/>
              <w:ind w:firstLine="0"/>
              <w:jc w:val="center"/>
              <w:rPr>
                <w:color w:val="000000"/>
                <w:sz w:val="18"/>
                <w:szCs w:val="18"/>
              </w:rPr>
            </w:pPr>
            <w:r>
              <w:rPr>
                <w:rFonts w:hint="eastAsia"/>
                <w:color w:val="000000"/>
                <w:kern w:val="0"/>
                <w:sz w:val="18"/>
                <w:szCs w:val="18"/>
              </w:rPr>
              <w:t>表土微干</w:t>
            </w:r>
          </w:p>
        </w:tc>
        <w:tc>
          <w:tcPr>
            <w:tcW w:w="1068" w:type="dxa"/>
            <w:tcBorders>
              <w:top w:val="single" w:color="auto" w:sz="4" w:space="0"/>
              <w:left w:val="single" w:color="auto" w:sz="4" w:space="0"/>
              <w:bottom w:val="single" w:color="auto" w:sz="4" w:space="0"/>
              <w:right w:val="single" w:color="auto" w:sz="4" w:space="0"/>
            </w:tcBorders>
            <w:vAlign w:val="center"/>
          </w:tcPr>
          <w:p w14:paraId="1BE938F2">
            <w:pPr>
              <w:spacing w:line="240" w:lineRule="auto"/>
              <w:ind w:firstLine="0"/>
              <w:jc w:val="center"/>
              <w:rPr>
                <w:color w:val="000000"/>
                <w:sz w:val="18"/>
                <w:szCs w:val="18"/>
              </w:rPr>
            </w:pPr>
            <w:r>
              <w:rPr>
                <w:rFonts w:hint="eastAsia"/>
                <w:color w:val="000000"/>
                <w:sz w:val="18"/>
                <w:szCs w:val="18"/>
              </w:rPr>
              <w:t>田面无水层</w:t>
            </w:r>
          </w:p>
        </w:tc>
        <w:tc>
          <w:tcPr>
            <w:tcW w:w="1031" w:type="dxa"/>
            <w:tcBorders>
              <w:top w:val="single" w:color="auto" w:sz="4" w:space="0"/>
              <w:left w:val="single" w:color="auto" w:sz="4" w:space="0"/>
              <w:bottom w:val="single" w:color="auto" w:sz="4" w:space="0"/>
              <w:right w:val="single" w:color="auto" w:sz="4" w:space="0"/>
            </w:tcBorders>
            <w:vAlign w:val="center"/>
          </w:tcPr>
          <w:p w14:paraId="5D3A6006">
            <w:pPr>
              <w:spacing w:line="240" w:lineRule="auto"/>
              <w:ind w:firstLine="0"/>
              <w:jc w:val="center"/>
              <w:rPr>
                <w:color w:val="000000"/>
                <w:sz w:val="18"/>
                <w:szCs w:val="18"/>
              </w:rPr>
            </w:pPr>
            <w:r>
              <w:rPr>
                <w:rFonts w:hint="eastAsia"/>
                <w:color w:val="000000"/>
                <w:sz w:val="18"/>
                <w:szCs w:val="18"/>
              </w:rPr>
              <w:t>8</w:t>
            </w:r>
            <w:r>
              <w:rPr>
                <w:rFonts w:hint="eastAsia"/>
                <w:color w:val="000000"/>
                <w:kern w:val="0"/>
                <w:sz w:val="18"/>
                <w:szCs w:val="18"/>
              </w:rPr>
              <w:t>～</w:t>
            </w:r>
            <w:r>
              <w:rPr>
                <w:rFonts w:hint="eastAsia"/>
                <w:color w:val="000000"/>
                <w:sz w:val="18"/>
                <w:szCs w:val="18"/>
              </w:rPr>
              <w:t>10</w:t>
            </w:r>
          </w:p>
        </w:tc>
        <w:tc>
          <w:tcPr>
            <w:tcW w:w="863" w:type="dxa"/>
            <w:tcBorders>
              <w:top w:val="single" w:color="auto" w:sz="4" w:space="0"/>
              <w:left w:val="single" w:color="auto" w:sz="4" w:space="0"/>
              <w:bottom w:val="single" w:color="auto" w:sz="4" w:space="0"/>
              <w:right w:val="single" w:color="auto" w:sz="4" w:space="0"/>
            </w:tcBorders>
            <w:vAlign w:val="center"/>
          </w:tcPr>
          <w:p w14:paraId="2382A44B">
            <w:pPr>
              <w:spacing w:line="240" w:lineRule="auto"/>
              <w:ind w:firstLine="0"/>
              <w:jc w:val="center"/>
              <w:rPr>
                <w:color w:val="000000"/>
                <w:sz w:val="18"/>
                <w:szCs w:val="18"/>
              </w:rPr>
            </w:pPr>
            <w:r>
              <w:rPr>
                <w:rFonts w:hint="eastAsia"/>
                <w:color w:val="000000"/>
                <w:sz w:val="18"/>
                <w:szCs w:val="18"/>
              </w:rPr>
              <w:t>2</w:t>
            </w:r>
            <w:r>
              <w:rPr>
                <w:rFonts w:hint="eastAsia"/>
                <w:color w:val="000000"/>
                <w:kern w:val="0"/>
                <w:sz w:val="18"/>
                <w:szCs w:val="18"/>
              </w:rPr>
              <w:t>～</w:t>
            </w:r>
            <w:r>
              <w:rPr>
                <w:rFonts w:hint="eastAsia"/>
                <w:color w:val="000000"/>
                <w:sz w:val="18"/>
                <w:szCs w:val="18"/>
              </w:rPr>
              <w:t>3</w:t>
            </w:r>
          </w:p>
        </w:tc>
        <w:tc>
          <w:tcPr>
            <w:tcW w:w="952" w:type="dxa"/>
            <w:tcBorders>
              <w:top w:val="single" w:color="auto" w:sz="4" w:space="0"/>
              <w:left w:val="single" w:color="auto" w:sz="4" w:space="0"/>
              <w:bottom w:val="single" w:color="auto" w:sz="4" w:space="0"/>
              <w:right w:val="single" w:color="auto" w:sz="4" w:space="0"/>
            </w:tcBorders>
            <w:vAlign w:val="center"/>
          </w:tcPr>
          <w:p w14:paraId="65E58A1D">
            <w:pPr>
              <w:spacing w:line="240" w:lineRule="auto"/>
              <w:ind w:firstLine="0"/>
              <w:jc w:val="center"/>
              <w:rPr>
                <w:color w:val="000000"/>
                <w:sz w:val="18"/>
                <w:szCs w:val="18"/>
              </w:rPr>
            </w:pPr>
            <w:r>
              <w:rPr>
                <w:rFonts w:hint="eastAsia"/>
                <w:color w:val="000000"/>
                <w:sz w:val="18"/>
                <w:szCs w:val="18"/>
              </w:rPr>
              <w:t>2</w:t>
            </w:r>
            <w:r>
              <w:rPr>
                <w:rFonts w:hint="eastAsia"/>
                <w:color w:val="000000"/>
                <w:kern w:val="0"/>
                <w:sz w:val="18"/>
                <w:szCs w:val="18"/>
              </w:rPr>
              <w:t>～</w:t>
            </w:r>
            <w:r>
              <w:rPr>
                <w:rFonts w:hint="eastAsia"/>
                <w:color w:val="000000"/>
                <w:sz w:val="18"/>
                <w:szCs w:val="18"/>
              </w:rPr>
              <w:t>4</w:t>
            </w:r>
          </w:p>
        </w:tc>
        <w:tc>
          <w:tcPr>
            <w:tcW w:w="1022" w:type="dxa"/>
            <w:tcBorders>
              <w:top w:val="single" w:color="auto" w:sz="4" w:space="0"/>
              <w:left w:val="single" w:color="auto" w:sz="4" w:space="0"/>
              <w:bottom w:val="single" w:color="auto" w:sz="4" w:space="0"/>
              <w:right w:val="single" w:color="auto" w:sz="4" w:space="0"/>
            </w:tcBorders>
            <w:vAlign w:val="center"/>
          </w:tcPr>
          <w:p w14:paraId="31F07592">
            <w:pPr>
              <w:spacing w:line="240" w:lineRule="auto"/>
              <w:ind w:firstLine="0"/>
              <w:jc w:val="center"/>
              <w:rPr>
                <w:color w:val="000000"/>
                <w:sz w:val="18"/>
                <w:szCs w:val="18"/>
              </w:rPr>
            </w:pPr>
            <w:r>
              <w:rPr>
                <w:rFonts w:hint="eastAsia"/>
                <w:color w:val="000000"/>
                <w:sz w:val="18"/>
                <w:szCs w:val="18"/>
              </w:rPr>
              <w:t>3</w:t>
            </w:r>
            <w:r>
              <w:rPr>
                <w:rFonts w:hint="eastAsia"/>
                <w:color w:val="000000"/>
                <w:kern w:val="0"/>
                <w:sz w:val="18"/>
                <w:szCs w:val="18"/>
              </w:rPr>
              <w:t>～</w:t>
            </w:r>
            <w:r>
              <w:rPr>
                <w:rFonts w:hint="eastAsia"/>
                <w:color w:val="000000"/>
                <w:sz w:val="18"/>
                <w:szCs w:val="18"/>
              </w:rPr>
              <w:t>5</w:t>
            </w:r>
          </w:p>
        </w:tc>
      </w:tr>
      <w:tr w14:paraId="16B1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534" w:type="dxa"/>
            <w:vMerge w:val="continue"/>
            <w:tcBorders>
              <w:left w:val="single" w:color="auto" w:sz="4" w:space="0"/>
              <w:right w:val="single" w:color="auto" w:sz="4" w:space="0"/>
            </w:tcBorders>
            <w:vAlign w:val="center"/>
          </w:tcPr>
          <w:p w14:paraId="214AE9D1">
            <w:pPr>
              <w:spacing w:line="240" w:lineRule="auto"/>
              <w:ind w:firstLine="0"/>
              <w:jc w:val="center"/>
              <w:rPr>
                <w:color w:val="000000"/>
                <w:sz w:val="18"/>
                <w:szCs w:val="18"/>
              </w:rPr>
            </w:pPr>
          </w:p>
        </w:tc>
        <w:tc>
          <w:tcPr>
            <w:tcW w:w="992" w:type="dxa"/>
            <w:vMerge w:val="restart"/>
            <w:tcBorders>
              <w:top w:val="single" w:color="auto" w:sz="4" w:space="0"/>
              <w:left w:val="single" w:color="auto" w:sz="4" w:space="0"/>
              <w:right w:val="single" w:color="auto" w:sz="4" w:space="0"/>
            </w:tcBorders>
            <w:vAlign w:val="center"/>
          </w:tcPr>
          <w:p w14:paraId="51F8AB4D">
            <w:pPr>
              <w:spacing w:line="240" w:lineRule="auto"/>
              <w:ind w:firstLine="0"/>
              <w:jc w:val="center"/>
              <w:rPr>
                <w:color w:val="000000"/>
                <w:sz w:val="18"/>
                <w:szCs w:val="18"/>
              </w:rPr>
            </w:pPr>
            <w:r>
              <w:rPr>
                <w:rFonts w:hint="eastAsia"/>
                <w:color w:val="000000"/>
                <w:sz w:val="18"/>
                <w:szCs w:val="18"/>
              </w:rPr>
              <w:t>移栽稻/旱直播稻/湿直播稻</w:t>
            </w:r>
          </w:p>
        </w:tc>
        <w:tc>
          <w:tcPr>
            <w:tcW w:w="1048" w:type="dxa"/>
            <w:tcBorders>
              <w:top w:val="single" w:color="auto" w:sz="4" w:space="0"/>
              <w:left w:val="single" w:color="auto" w:sz="4" w:space="0"/>
              <w:bottom w:val="single" w:color="auto" w:sz="4" w:space="0"/>
              <w:right w:val="single" w:color="auto" w:sz="4" w:space="0"/>
            </w:tcBorders>
            <w:vAlign w:val="center"/>
          </w:tcPr>
          <w:p w14:paraId="4BD0818A">
            <w:pPr>
              <w:spacing w:line="240" w:lineRule="auto"/>
              <w:ind w:firstLine="0"/>
              <w:jc w:val="center"/>
              <w:rPr>
                <w:color w:val="000000"/>
                <w:sz w:val="18"/>
                <w:szCs w:val="18"/>
              </w:rPr>
            </w:pPr>
            <w:r>
              <w:rPr>
                <w:rFonts w:hint="eastAsia"/>
                <w:color w:val="000000"/>
                <w:sz w:val="18"/>
                <w:szCs w:val="18"/>
              </w:rPr>
              <w:t>分蘖期</w:t>
            </w:r>
          </w:p>
        </w:tc>
        <w:tc>
          <w:tcPr>
            <w:tcW w:w="1012" w:type="dxa"/>
            <w:tcBorders>
              <w:top w:val="single" w:color="auto" w:sz="4" w:space="0"/>
              <w:left w:val="single" w:color="auto" w:sz="4" w:space="0"/>
              <w:bottom w:val="single" w:color="auto" w:sz="4" w:space="0"/>
              <w:right w:val="single" w:color="auto" w:sz="4" w:space="0"/>
            </w:tcBorders>
            <w:vAlign w:val="center"/>
          </w:tcPr>
          <w:p w14:paraId="19065970">
            <w:pPr>
              <w:spacing w:line="240" w:lineRule="auto"/>
              <w:ind w:firstLine="0"/>
              <w:jc w:val="center"/>
              <w:rPr>
                <w:color w:val="000000"/>
                <w:sz w:val="18"/>
                <w:szCs w:val="18"/>
              </w:rPr>
            </w:pPr>
            <w:r>
              <w:rPr>
                <w:rFonts w:hint="eastAsia"/>
                <w:color w:val="000000"/>
                <w:kern w:val="0"/>
                <w:sz w:val="18"/>
                <w:szCs w:val="18"/>
              </w:rPr>
              <w:t>表土发硬，田边发白</w:t>
            </w:r>
          </w:p>
        </w:tc>
        <w:tc>
          <w:tcPr>
            <w:tcW w:w="1068" w:type="dxa"/>
            <w:tcBorders>
              <w:top w:val="single" w:color="auto" w:sz="4" w:space="0"/>
              <w:left w:val="single" w:color="auto" w:sz="4" w:space="0"/>
              <w:bottom w:val="single" w:color="auto" w:sz="4" w:space="0"/>
              <w:right w:val="single" w:color="auto" w:sz="4" w:space="0"/>
            </w:tcBorders>
            <w:vAlign w:val="center"/>
          </w:tcPr>
          <w:p w14:paraId="23A1CA0C">
            <w:pPr>
              <w:spacing w:line="240" w:lineRule="auto"/>
              <w:ind w:firstLine="0"/>
              <w:jc w:val="center"/>
              <w:rPr>
                <w:color w:val="000000"/>
                <w:sz w:val="18"/>
                <w:szCs w:val="18"/>
              </w:rPr>
            </w:pPr>
            <w:r>
              <w:rPr>
                <w:rFonts w:hint="eastAsia"/>
                <w:color w:val="000000"/>
                <w:sz w:val="18"/>
                <w:szCs w:val="18"/>
              </w:rPr>
              <w:t>田面水层</w:t>
            </w:r>
          </w:p>
          <w:p w14:paraId="10D0F638">
            <w:pPr>
              <w:spacing w:line="240" w:lineRule="auto"/>
              <w:ind w:firstLine="0"/>
              <w:jc w:val="center"/>
              <w:rPr>
                <w:color w:val="000000"/>
                <w:sz w:val="18"/>
                <w:szCs w:val="18"/>
              </w:rPr>
            </w:pPr>
            <w:r>
              <w:rPr>
                <w:color w:val="000000"/>
                <w:sz w:val="18"/>
                <w:szCs w:val="18"/>
              </w:rPr>
              <w:t>20</w:t>
            </w:r>
            <w:r>
              <w:rPr>
                <w:rFonts w:hint="eastAsia"/>
                <w:color w:val="000000"/>
                <w:kern w:val="0"/>
                <w:sz w:val="18"/>
                <w:szCs w:val="18"/>
              </w:rPr>
              <w:t>～</w:t>
            </w:r>
            <w:r>
              <w:rPr>
                <w:color w:val="000000"/>
                <w:sz w:val="18"/>
                <w:szCs w:val="18"/>
              </w:rPr>
              <w:t>40 mm</w:t>
            </w:r>
          </w:p>
        </w:tc>
        <w:tc>
          <w:tcPr>
            <w:tcW w:w="1031" w:type="dxa"/>
            <w:tcBorders>
              <w:top w:val="single" w:color="auto" w:sz="4" w:space="0"/>
              <w:left w:val="single" w:color="auto" w:sz="4" w:space="0"/>
              <w:bottom w:val="single" w:color="auto" w:sz="4" w:space="0"/>
              <w:right w:val="single" w:color="auto" w:sz="4" w:space="0"/>
            </w:tcBorders>
            <w:vAlign w:val="center"/>
          </w:tcPr>
          <w:p w14:paraId="3B827D3D">
            <w:pPr>
              <w:spacing w:line="240" w:lineRule="auto"/>
              <w:ind w:firstLine="0"/>
              <w:jc w:val="center"/>
              <w:rPr>
                <w:color w:val="000000"/>
                <w:sz w:val="18"/>
                <w:szCs w:val="18"/>
              </w:rPr>
            </w:pPr>
            <w:r>
              <w:rPr>
                <w:color w:val="000000"/>
                <w:sz w:val="18"/>
                <w:szCs w:val="18"/>
              </w:rPr>
              <w:t>22</w:t>
            </w:r>
            <w:r>
              <w:rPr>
                <w:rFonts w:hint="eastAsia"/>
                <w:color w:val="000000"/>
                <w:kern w:val="0"/>
                <w:sz w:val="18"/>
                <w:szCs w:val="18"/>
              </w:rPr>
              <w:t>～</w:t>
            </w:r>
            <w:r>
              <w:rPr>
                <w:color w:val="000000"/>
                <w:sz w:val="18"/>
                <w:szCs w:val="18"/>
              </w:rPr>
              <w:t>43</w:t>
            </w:r>
          </w:p>
        </w:tc>
        <w:tc>
          <w:tcPr>
            <w:tcW w:w="863" w:type="dxa"/>
            <w:tcBorders>
              <w:top w:val="single" w:color="auto" w:sz="4" w:space="0"/>
              <w:left w:val="single" w:color="auto" w:sz="4" w:space="0"/>
              <w:bottom w:val="single" w:color="auto" w:sz="4" w:space="0"/>
              <w:right w:val="single" w:color="auto" w:sz="4" w:space="0"/>
            </w:tcBorders>
            <w:vAlign w:val="center"/>
          </w:tcPr>
          <w:p w14:paraId="180B5E29">
            <w:pPr>
              <w:spacing w:line="240" w:lineRule="auto"/>
              <w:ind w:firstLine="0"/>
              <w:jc w:val="center"/>
              <w:rPr>
                <w:color w:val="000000"/>
                <w:sz w:val="18"/>
                <w:szCs w:val="18"/>
              </w:rPr>
            </w:pPr>
            <w:r>
              <w:rPr>
                <w:rFonts w:hint="eastAsia"/>
                <w:color w:val="000000"/>
                <w:sz w:val="18"/>
                <w:szCs w:val="18"/>
              </w:rPr>
              <w:t>5</w:t>
            </w:r>
            <w:r>
              <w:rPr>
                <w:rFonts w:hint="eastAsia"/>
                <w:color w:val="000000"/>
                <w:kern w:val="0"/>
                <w:sz w:val="18"/>
                <w:szCs w:val="18"/>
              </w:rPr>
              <w:t>～</w:t>
            </w:r>
            <w:r>
              <w:rPr>
                <w:rFonts w:hint="eastAsia"/>
                <w:color w:val="000000"/>
                <w:sz w:val="18"/>
                <w:szCs w:val="18"/>
              </w:rPr>
              <w:t>7</w:t>
            </w:r>
          </w:p>
        </w:tc>
        <w:tc>
          <w:tcPr>
            <w:tcW w:w="952" w:type="dxa"/>
            <w:tcBorders>
              <w:top w:val="single" w:color="auto" w:sz="4" w:space="0"/>
              <w:left w:val="single" w:color="auto" w:sz="4" w:space="0"/>
              <w:bottom w:val="single" w:color="auto" w:sz="4" w:space="0"/>
              <w:right w:val="single" w:color="auto" w:sz="4" w:space="0"/>
            </w:tcBorders>
            <w:vAlign w:val="center"/>
          </w:tcPr>
          <w:p w14:paraId="07280BF0">
            <w:pPr>
              <w:spacing w:line="240" w:lineRule="auto"/>
              <w:ind w:firstLine="0"/>
              <w:jc w:val="center"/>
              <w:rPr>
                <w:color w:val="000000"/>
                <w:sz w:val="18"/>
                <w:szCs w:val="18"/>
              </w:rPr>
            </w:pPr>
            <w:r>
              <w:rPr>
                <w:rFonts w:hint="eastAsia"/>
                <w:color w:val="000000"/>
                <w:sz w:val="18"/>
                <w:szCs w:val="18"/>
              </w:rPr>
              <w:t>6</w:t>
            </w:r>
            <w:r>
              <w:rPr>
                <w:rFonts w:hint="eastAsia"/>
                <w:color w:val="000000"/>
                <w:kern w:val="0"/>
                <w:sz w:val="18"/>
                <w:szCs w:val="18"/>
              </w:rPr>
              <w:t>～</w:t>
            </w:r>
            <w:r>
              <w:rPr>
                <w:rFonts w:hint="eastAsia"/>
                <w:color w:val="000000"/>
                <w:sz w:val="18"/>
                <w:szCs w:val="18"/>
              </w:rPr>
              <w:t>8</w:t>
            </w:r>
          </w:p>
        </w:tc>
        <w:tc>
          <w:tcPr>
            <w:tcW w:w="1022" w:type="dxa"/>
            <w:tcBorders>
              <w:top w:val="single" w:color="auto" w:sz="4" w:space="0"/>
              <w:left w:val="single" w:color="auto" w:sz="4" w:space="0"/>
              <w:bottom w:val="single" w:color="auto" w:sz="4" w:space="0"/>
              <w:right w:val="single" w:color="auto" w:sz="4" w:space="0"/>
            </w:tcBorders>
            <w:vAlign w:val="center"/>
          </w:tcPr>
          <w:p w14:paraId="265E9CC7">
            <w:pPr>
              <w:spacing w:line="240" w:lineRule="auto"/>
              <w:ind w:firstLine="0"/>
              <w:jc w:val="center"/>
              <w:rPr>
                <w:color w:val="000000"/>
                <w:sz w:val="18"/>
                <w:szCs w:val="18"/>
              </w:rPr>
            </w:pPr>
            <w:r>
              <w:rPr>
                <w:rFonts w:hint="eastAsia"/>
                <w:color w:val="000000"/>
                <w:sz w:val="18"/>
                <w:szCs w:val="18"/>
              </w:rPr>
              <w:t>7</w:t>
            </w:r>
            <w:r>
              <w:rPr>
                <w:rFonts w:hint="eastAsia"/>
                <w:color w:val="000000"/>
                <w:kern w:val="0"/>
                <w:sz w:val="18"/>
                <w:szCs w:val="18"/>
              </w:rPr>
              <w:t>～</w:t>
            </w:r>
            <w:r>
              <w:rPr>
                <w:rFonts w:hint="eastAsia"/>
                <w:color w:val="000000"/>
                <w:sz w:val="18"/>
                <w:szCs w:val="18"/>
              </w:rPr>
              <w:t>9</w:t>
            </w:r>
          </w:p>
        </w:tc>
      </w:tr>
      <w:tr w14:paraId="2922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534" w:type="dxa"/>
            <w:vMerge w:val="continue"/>
            <w:tcBorders>
              <w:left w:val="single" w:color="auto" w:sz="4" w:space="0"/>
              <w:right w:val="single" w:color="auto" w:sz="4" w:space="0"/>
            </w:tcBorders>
            <w:vAlign w:val="center"/>
          </w:tcPr>
          <w:p w14:paraId="29F12028">
            <w:pPr>
              <w:spacing w:line="240" w:lineRule="auto"/>
              <w:ind w:firstLine="0"/>
              <w:jc w:val="center"/>
              <w:rPr>
                <w:color w:val="000000"/>
                <w:sz w:val="18"/>
                <w:szCs w:val="18"/>
              </w:rPr>
            </w:pPr>
          </w:p>
        </w:tc>
        <w:tc>
          <w:tcPr>
            <w:tcW w:w="992" w:type="dxa"/>
            <w:vMerge w:val="continue"/>
            <w:tcBorders>
              <w:left w:val="single" w:color="auto" w:sz="4" w:space="0"/>
              <w:right w:val="single" w:color="auto" w:sz="4" w:space="0"/>
            </w:tcBorders>
            <w:vAlign w:val="center"/>
          </w:tcPr>
          <w:p w14:paraId="226B790C">
            <w:pPr>
              <w:spacing w:line="240" w:lineRule="auto"/>
              <w:ind w:firstLine="0"/>
              <w:jc w:val="center"/>
              <w:rPr>
                <w:color w:val="000000"/>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100F8506">
            <w:pPr>
              <w:spacing w:line="240" w:lineRule="auto"/>
              <w:ind w:firstLine="0"/>
              <w:jc w:val="center"/>
              <w:rPr>
                <w:color w:val="000000"/>
                <w:sz w:val="18"/>
                <w:szCs w:val="18"/>
              </w:rPr>
            </w:pPr>
            <w:r>
              <w:rPr>
                <w:rFonts w:hint="eastAsia"/>
                <w:color w:val="000000"/>
                <w:sz w:val="18"/>
                <w:szCs w:val="18"/>
              </w:rPr>
              <w:t>分蘖盛期</w:t>
            </w:r>
          </w:p>
        </w:tc>
        <w:tc>
          <w:tcPr>
            <w:tcW w:w="1012" w:type="dxa"/>
            <w:tcBorders>
              <w:top w:val="single" w:color="auto" w:sz="4" w:space="0"/>
              <w:left w:val="single" w:color="auto" w:sz="4" w:space="0"/>
              <w:bottom w:val="single" w:color="auto" w:sz="4" w:space="0"/>
              <w:right w:val="single" w:color="auto" w:sz="4" w:space="0"/>
            </w:tcBorders>
            <w:vAlign w:val="center"/>
          </w:tcPr>
          <w:p w14:paraId="3E6EEB7B">
            <w:pPr>
              <w:spacing w:line="240" w:lineRule="auto"/>
              <w:ind w:firstLine="0"/>
              <w:jc w:val="center"/>
              <w:rPr>
                <w:color w:val="000000"/>
                <w:kern w:val="0"/>
                <w:sz w:val="18"/>
                <w:szCs w:val="18"/>
              </w:rPr>
            </w:pPr>
            <w:r>
              <w:rPr>
                <w:rFonts w:hint="eastAsia"/>
                <w:color w:val="000000"/>
                <w:kern w:val="0"/>
                <w:sz w:val="18"/>
                <w:szCs w:val="18"/>
              </w:rPr>
              <w:t>田边发白，裂缝&lt;0.3 cm</w:t>
            </w:r>
          </w:p>
        </w:tc>
        <w:tc>
          <w:tcPr>
            <w:tcW w:w="1068" w:type="dxa"/>
            <w:tcBorders>
              <w:top w:val="single" w:color="auto" w:sz="4" w:space="0"/>
              <w:left w:val="single" w:color="auto" w:sz="4" w:space="0"/>
              <w:bottom w:val="single" w:color="auto" w:sz="4" w:space="0"/>
              <w:right w:val="single" w:color="auto" w:sz="4" w:space="0"/>
            </w:tcBorders>
            <w:vAlign w:val="center"/>
          </w:tcPr>
          <w:p w14:paraId="404C9F48">
            <w:pPr>
              <w:spacing w:line="240" w:lineRule="auto"/>
              <w:ind w:firstLine="0"/>
              <w:jc w:val="center"/>
              <w:rPr>
                <w:color w:val="000000"/>
                <w:sz w:val="18"/>
                <w:szCs w:val="18"/>
              </w:rPr>
            </w:pPr>
            <w:r>
              <w:rPr>
                <w:rFonts w:hint="eastAsia"/>
                <w:color w:val="000000"/>
                <w:sz w:val="18"/>
                <w:szCs w:val="18"/>
              </w:rPr>
              <w:t>田面水层</w:t>
            </w:r>
          </w:p>
          <w:p w14:paraId="56875F94">
            <w:pPr>
              <w:spacing w:line="240" w:lineRule="auto"/>
              <w:ind w:firstLine="0"/>
              <w:jc w:val="center"/>
              <w:rPr>
                <w:color w:val="000000"/>
                <w:sz w:val="18"/>
                <w:szCs w:val="18"/>
              </w:rPr>
            </w:pPr>
            <w:r>
              <w:rPr>
                <w:color w:val="000000"/>
                <w:sz w:val="18"/>
                <w:szCs w:val="18"/>
              </w:rPr>
              <w:t>20</w:t>
            </w:r>
            <w:r>
              <w:rPr>
                <w:rFonts w:hint="eastAsia"/>
                <w:color w:val="000000"/>
                <w:kern w:val="0"/>
                <w:sz w:val="18"/>
                <w:szCs w:val="18"/>
              </w:rPr>
              <w:t>～</w:t>
            </w:r>
            <w:r>
              <w:rPr>
                <w:color w:val="000000"/>
                <w:sz w:val="18"/>
                <w:szCs w:val="18"/>
              </w:rPr>
              <w:t>40 mm</w:t>
            </w:r>
          </w:p>
        </w:tc>
        <w:tc>
          <w:tcPr>
            <w:tcW w:w="1031" w:type="dxa"/>
            <w:tcBorders>
              <w:top w:val="single" w:color="auto" w:sz="4" w:space="0"/>
              <w:left w:val="single" w:color="auto" w:sz="4" w:space="0"/>
              <w:bottom w:val="single" w:color="auto" w:sz="4" w:space="0"/>
              <w:right w:val="single" w:color="auto" w:sz="4" w:space="0"/>
            </w:tcBorders>
            <w:vAlign w:val="center"/>
          </w:tcPr>
          <w:p w14:paraId="226A831D">
            <w:pPr>
              <w:spacing w:line="240" w:lineRule="auto"/>
              <w:ind w:firstLine="0"/>
              <w:jc w:val="center"/>
              <w:rPr>
                <w:color w:val="000000"/>
                <w:sz w:val="18"/>
                <w:szCs w:val="18"/>
              </w:rPr>
            </w:pPr>
            <w:r>
              <w:rPr>
                <w:rFonts w:hint="eastAsia"/>
                <w:color w:val="000000"/>
                <w:sz w:val="18"/>
                <w:szCs w:val="18"/>
              </w:rPr>
              <w:t>50</w:t>
            </w:r>
            <w:r>
              <w:rPr>
                <w:rFonts w:hint="eastAsia"/>
                <w:color w:val="000000"/>
                <w:kern w:val="0"/>
                <w:sz w:val="18"/>
                <w:szCs w:val="18"/>
              </w:rPr>
              <w:t>～</w:t>
            </w:r>
            <w:r>
              <w:rPr>
                <w:rFonts w:hint="eastAsia"/>
                <w:color w:val="000000"/>
                <w:sz w:val="18"/>
                <w:szCs w:val="18"/>
              </w:rPr>
              <w:t>70</w:t>
            </w:r>
          </w:p>
        </w:tc>
        <w:tc>
          <w:tcPr>
            <w:tcW w:w="863" w:type="dxa"/>
            <w:tcBorders>
              <w:top w:val="single" w:color="auto" w:sz="4" w:space="0"/>
              <w:left w:val="single" w:color="auto" w:sz="4" w:space="0"/>
              <w:bottom w:val="single" w:color="auto" w:sz="4" w:space="0"/>
              <w:right w:val="single" w:color="auto" w:sz="4" w:space="0"/>
            </w:tcBorders>
            <w:vAlign w:val="center"/>
          </w:tcPr>
          <w:p w14:paraId="6B34BAE9">
            <w:pPr>
              <w:spacing w:line="240" w:lineRule="auto"/>
              <w:ind w:firstLine="0"/>
              <w:jc w:val="center"/>
              <w:rPr>
                <w:color w:val="000000"/>
                <w:sz w:val="18"/>
                <w:szCs w:val="18"/>
              </w:rPr>
            </w:pPr>
            <w:r>
              <w:rPr>
                <w:rFonts w:hint="eastAsia"/>
                <w:color w:val="000000"/>
                <w:sz w:val="18"/>
                <w:szCs w:val="18"/>
              </w:rPr>
              <w:t>7</w:t>
            </w:r>
            <w:r>
              <w:rPr>
                <w:rFonts w:hint="eastAsia"/>
                <w:color w:val="000000"/>
                <w:kern w:val="0"/>
                <w:sz w:val="18"/>
                <w:szCs w:val="18"/>
              </w:rPr>
              <w:t>～</w:t>
            </w:r>
            <w:r>
              <w:rPr>
                <w:rFonts w:hint="eastAsia"/>
                <w:color w:val="000000"/>
                <w:sz w:val="18"/>
                <w:szCs w:val="18"/>
              </w:rPr>
              <w:t>9</w:t>
            </w:r>
          </w:p>
        </w:tc>
        <w:tc>
          <w:tcPr>
            <w:tcW w:w="952" w:type="dxa"/>
            <w:tcBorders>
              <w:top w:val="single" w:color="auto" w:sz="4" w:space="0"/>
              <w:left w:val="single" w:color="auto" w:sz="4" w:space="0"/>
              <w:bottom w:val="single" w:color="auto" w:sz="4" w:space="0"/>
              <w:right w:val="single" w:color="auto" w:sz="4" w:space="0"/>
            </w:tcBorders>
            <w:vAlign w:val="center"/>
          </w:tcPr>
          <w:p w14:paraId="60F37281">
            <w:pPr>
              <w:spacing w:line="240" w:lineRule="auto"/>
              <w:ind w:firstLine="0"/>
              <w:jc w:val="center"/>
              <w:rPr>
                <w:color w:val="000000"/>
                <w:sz w:val="18"/>
                <w:szCs w:val="18"/>
              </w:rPr>
            </w:pPr>
            <w:r>
              <w:rPr>
                <w:rFonts w:hint="eastAsia"/>
                <w:color w:val="000000"/>
                <w:sz w:val="18"/>
                <w:szCs w:val="18"/>
              </w:rPr>
              <w:t>8</w:t>
            </w:r>
            <w:r>
              <w:rPr>
                <w:rFonts w:hint="eastAsia"/>
                <w:color w:val="000000"/>
                <w:kern w:val="0"/>
                <w:sz w:val="18"/>
                <w:szCs w:val="18"/>
              </w:rPr>
              <w:t>～</w:t>
            </w:r>
            <w:r>
              <w:rPr>
                <w:rFonts w:hint="eastAsia"/>
                <w:color w:val="000000"/>
                <w:sz w:val="18"/>
                <w:szCs w:val="18"/>
              </w:rPr>
              <w:t>10</w:t>
            </w:r>
          </w:p>
        </w:tc>
        <w:tc>
          <w:tcPr>
            <w:tcW w:w="1022" w:type="dxa"/>
            <w:tcBorders>
              <w:top w:val="single" w:color="auto" w:sz="4" w:space="0"/>
              <w:left w:val="single" w:color="auto" w:sz="4" w:space="0"/>
              <w:bottom w:val="single" w:color="auto" w:sz="4" w:space="0"/>
              <w:right w:val="single" w:color="auto" w:sz="4" w:space="0"/>
            </w:tcBorders>
            <w:vAlign w:val="center"/>
          </w:tcPr>
          <w:p w14:paraId="767CB46C">
            <w:pPr>
              <w:spacing w:line="240" w:lineRule="auto"/>
              <w:ind w:firstLine="0"/>
              <w:jc w:val="center"/>
              <w:rPr>
                <w:color w:val="000000"/>
                <w:sz w:val="18"/>
                <w:szCs w:val="18"/>
              </w:rPr>
            </w:pPr>
            <w:r>
              <w:rPr>
                <w:rFonts w:hint="eastAsia"/>
                <w:color w:val="000000"/>
                <w:sz w:val="18"/>
                <w:szCs w:val="18"/>
              </w:rPr>
              <w:t>9</w:t>
            </w:r>
            <w:r>
              <w:rPr>
                <w:rFonts w:hint="eastAsia"/>
                <w:color w:val="000000"/>
                <w:kern w:val="0"/>
                <w:sz w:val="18"/>
                <w:szCs w:val="18"/>
              </w:rPr>
              <w:t>～</w:t>
            </w:r>
            <w:r>
              <w:rPr>
                <w:rFonts w:hint="eastAsia"/>
                <w:color w:val="000000"/>
                <w:sz w:val="18"/>
                <w:szCs w:val="18"/>
              </w:rPr>
              <w:t>11</w:t>
            </w:r>
          </w:p>
        </w:tc>
      </w:tr>
      <w:tr w14:paraId="667B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534" w:type="dxa"/>
            <w:vMerge w:val="continue"/>
            <w:tcBorders>
              <w:left w:val="single" w:color="auto" w:sz="4" w:space="0"/>
              <w:right w:val="single" w:color="auto" w:sz="4" w:space="0"/>
            </w:tcBorders>
            <w:vAlign w:val="center"/>
          </w:tcPr>
          <w:p w14:paraId="2E7661C0">
            <w:pPr>
              <w:spacing w:line="240" w:lineRule="auto"/>
              <w:ind w:firstLine="0"/>
              <w:jc w:val="center"/>
              <w:rPr>
                <w:color w:val="000000"/>
                <w:sz w:val="18"/>
                <w:szCs w:val="18"/>
              </w:rPr>
            </w:pPr>
          </w:p>
        </w:tc>
        <w:tc>
          <w:tcPr>
            <w:tcW w:w="992" w:type="dxa"/>
            <w:vMerge w:val="continue"/>
            <w:tcBorders>
              <w:left w:val="single" w:color="auto" w:sz="4" w:space="0"/>
              <w:right w:val="single" w:color="auto" w:sz="4" w:space="0"/>
            </w:tcBorders>
            <w:vAlign w:val="center"/>
          </w:tcPr>
          <w:p w14:paraId="0E90C225">
            <w:pPr>
              <w:spacing w:line="240" w:lineRule="auto"/>
              <w:ind w:firstLine="0"/>
              <w:rPr>
                <w:color w:val="000000"/>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6274AC2D">
            <w:pPr>
              <w:spacing w:line="240" w:lineRule="auto"/>
              <w:ind w:firstLine="0"/>
              <w:jc w:val="center"/>
              <w:rPr>
                <w:color w:val="000000"/>
                <w:sz w:val="18"/>
                <w:szCs w:val="18"/>
              </w:rPr>
            </w:pPr>
            <w:r>
              <w:rPr>
                <w:rFonts w:hint="eastAsia"/>
                <w:color w:val="000000"/>
                <w:sz w:val="18"/>
                <w:szCs w:val="18"/>
              </w:rPr>
              <w:t>拔节期</w:t>
            </w:r>
          </w:p>
        </w:tc>
        <w:tc>
          <w:tcPr>
            <w:tcW w:w="1012" w:type="dxa"/>
            <w:tcBorders>
              <w:top w:val="single" w:color="auto" w:sz="4" w:space="0"/>
              <w:left w:val="single" w:color="auto" w:sz="4" w:space="0"/>
              <w:bottom w:val="single" w:color="auto" w:sz="4" w:space="0"/>
              <w:right w:val="single" w:color="auto" w:sz="4" w:space="0"/>
            </w:tcBorders>
            <w:vAlign w:val="center"/>
          </w:tcPr>
          <w:p w14:paraId="30FE3708">
            <w:pPr>
              <w:spacing w:line="240" w:lineRule="auto"/>
              <w:ind w:firstLine="0"/>
              <w:jc w:val="center"/>
              <w:rPr>
                <w:color w:val="000000"/>
                <w:kern w:val="0"/>
                <w:sz w:val="18"/>
                <w:szCs w:val="18"/>
              </w:rPr>
            </w:pPr>
            <w:r>
              <w:rPr>
                <w:rFonts w:hint="eastAsia"/>
                <w:color w:val="000000"/>
                <w:kern w:val="0"/>
                <w:sz w:val="18"/>
                <w:szCs w:val="18"/>
              </w:rPr>
              <w:t>表土发硬，田边发白</w:t>
            </w:r>
          </w:p>
        </w:tc>
        <w:tc>
          <w:tcPr>
            <w:tcW w:w="1068" w:type="dxa"/>
            <w:tcBorders>
              <w:top w:val="single" w:color="auto" w:sz="4" w:space="0"/>
              <w:left w:val="single" w:color="auto" w:sz="4" w:space="0"/>
              <w:bottom w:val="single" w:color="auto" w:sz="4" w:space="0"/>
              <w:right w:val="single" w:color="auto" w:sz="4" w:space="0"/>
            </w:tcBorders>
            <w:vAlign w:val="center"/>
          </w:tcPr>
          <w:p w14:paraId="2391EAFA">
            <w:pPr>
              <w:spacing w:line="240" w:lineRule="auto"/>
              <w:ind w:firstLine="0"/>
              <w:jc w:val="center"/>
              <w:rPr>
                <w:color w:val="000000"/>
                <w:sz w:val="18"/>
                <w:szCs w:val="18"/>
              </w:rPr>
            </w:pPr>
            <w:r>
              <w:rPr>
                <w:rFonts w:hint="eastAsia"/>
                <w:color w:val="000000"/>
                <w:sz w:val="18"/>
                <w:szCs w:val="18"/>
              </w:rPr>
              <w:t>田面水层</w:t>
            </w:r>
          </w:p>
          <w:p w14:paraId="2FF02DB9">
            <w:pPr>
              <w:spacing w:line="240" w:lineRule="auto"/>
              <w:ind w:firstLine="0"/>
              <w:jc w:val="center"/>
              <w:rPr>
                <w:color w:val="000000"/>
                <w:sz w:val="18"/>
                <w:szCs w:val="18"/>
              </w:rPr>
            </w:pPr>
            <w:r>
              <w:rPr>
                <w:color w:val="000000"/>
                <w:sz w:val="18"/>
                <w:szCs w:val="18"/>
              </w:rPr>
              <w:t>20</w:t>
            </w:r>
            <w:r>
              <w:rPr>
                <w:rFonts w:hint="eastAsia"/>
                <w:color w:val="000000"/>
                <w:kern w:val="0"/>
                <w:sz w:val="18"/>
                <w:szCs w:val="18"/>
              </w:rPr>
              <w:t>～</w:t>
            </w:r>
            <w:r>
              <w:rPr>
                <w:color w:val="000000"/>
                <w:sz w:val="18"/>
                <w:szCs w:val="18"/>
              </w:rPr>
              <w:t>40 mm</w:t>
            </w:r>
          </w:p>
        </w:tc>
        <w:tc>
          <w:tcPr>
            <w:tcW w:w="1031" w:type="dxa"/>
            <w:tcBorders>
              <w:top w:val="single" w:color="auto" w:sz="4" w:space="0"/>
              <w:left w:val="single" w:color="auto" w:sz="4" w:space="0"/>
              <w:bottom w:val="single" w:color="auto" w:sz="4" w:space="0"/>
              <w:right w:val="single" w:color="auto" w:sz="4" w:space="0"/>
            </w:tcBorders>
            <w:vAlign w:val="center"/>
          </w:tcPr>
          <w:p w14:paraId="2C16CED3">
            <w:pPr>
              <w:spacing w:line="240" w:lineRule="auto"/>
              <w:ind w:firstLine="0"/>
              <w:jc w:val="center"/>
              <w:rPr>
                <w:color w:val="000000"/>
                <w:sz w:val="18"/>
                <w:szCs w:val="18"/>
              </w:rPr>
            </w:pPr>
            <w:r>
              <w:rPr>
                <w:color w:val="000000"/>
                <w:sz w:val="18"/>
                <w:szCs w:val="18"/>
              </w:rPr>
              <w:t>22</w:t>
            </w:r>
            <w:r>
              <w:rPr>
                <w:rFonts w:hint="eastAsia"/>
                <w:color w:val="000000"/>
                <w:kern w:val="0"/>
                <w:sz w:val="18"/>
                <w:szCs w:val="18"/>
              </w:rPr>
              <w:t>～</w:t>
            </w:r>
            <w:r>
              <w:rPr>
                <w:color w:val="000000"/>
                <w:sz w:val="18"/>
                <w:szCs w:val="18"/>
              </w:rPr>
              <w:t>43</w:t>
            </w:r>
          </w:p>
        </w:tc>
        <w:tc>
          <w:tcPr>
            <w:tcW w:w="863" w:type="dxa"/>
            <w:tcBorders>
              <w:top w:val="single" w:color="auto" w:sz="4" w:space="0"/>
              <w:left w:val="single" w:color="auto" w:sz="4" w:space="0"/>
              <w:bottom w:val="single" w:color="auto" w:sz="4" w:space="0"/>
              <w:right w:val="single" w:color="auto" w:sz="4" w:space="0"/>
            </w:tcBorders>
            <w:vAlign w:val="center"/>
          </w:tcPr>
          <w:p w14:paraId="02094C79">
            <w:pPr>
              <w:spacing w:line="240" w:lineRule="auto"/>
              <w:ind w:firstLine="0"/>
              <w:jc w:val="center"/>
              <w:rPr>
                <w:color w:val="000000"/>
                <w:sz w:val="18"/>
                <w:szCs w:val="18"/>
              </w:rPr>
            </w:pPr>
            <w:r>
              <w:rPr>
                <w:rFonts w:hint="eastAsia"/>
                <w:color w:val="000000"/>
                <w:sz w:val="18"/>
                <w:szCs w:val="18"/>
              </w:rPr>
              <w:t>5</w:t>
            </w:r>
            <w:r>
              <w:rPr>
                <w:rFonts w:hint="eastAsia"/>
                <w:color w:val="000000"/>
                <w:kern w:val="0"/>
                <w:sz w:val="18"/>
                <w:szCs w:val="18"/>
              </w:rPr>
              <w:t>～</w:t>
            </w:r>
            <w:r>
              <w:rPr>
                <w:rFonts w:hint="eastAsia"/>
                <w:color w:val="000000"/>
                <w:sz w:val="18"/>
                <w:szCs w:val="18"/>
              </w:rPr>
              <w:t>7</w:t>
            </w:r>
          </w:p>
        </w:tc>
        <w:tc>
          <w:tcPr>
            <w:tcW w:w="952" w:type="dxa"/>
            <w:tcBorders>
              <w:top w:val="single" w:color="auto" w:sz="4" w:space="0"/>
              <w:left w:val="single" w:color="auto" w:sz="4" w:space="0"/>
              <w:bottom w:val="single" w:color="auto" w:sz="4" w:space="0"/>
              <w:right w:val="single" w:color="auto" w:sz="4" w:space="0"/>
            </w:tcBorders>
            <w:vAlign w:val="center"/>
          </w:tcPr>
          <w:p w14:paraId="39C76CF0">
            <w:pPr>
              <w:spacing w:line="240" w:lineRule="auto"/>
              <w:ind w:firstLine="0"/>
              <w:jc w:val="center"/>
              <w:rPr>
                <w:color w:val="000000"/>
                <w:sz w:val="18"/>
                <w:szCs w:val="18"/>
              </w:rPr>
            </w:pPr>
            <w:r>
              <w:rPr>
                <w:rFonts w:hint="eastAsia"/>
                <w:color w:val="000000"/>
                <w:sz w:val="18"/>
                <w:szCs w:val="18"/>
              </w:rPr>
              <w:t>6</w:t>
            </w:r>
            <w:r>
              <w:rPr>
                <w:rFonts w:hint="eastAsia"/>
                <w:color w:val="000000"/>
                <w:kern w:val="0"/>
                <w:sz w:val="18"/>
                <w:szCs w:val="18"/>
              </w:rPr>
              <w:t>～</w:t>
            </w:r>
            <w:r>
              <w:rPr>
                <w:rFonts w:hint="eastAsia"/>
                <w:color w:val="000000"/>
                <w:sz w:val="18"/>
                <w:szCs w:val="18"/>
              </w:rPr>
              <w:t>8</w:t>
            </w:r>
          </w:p>
        </w:tc>
        <w:tc>
          <w:tcPr>
            <w:tcW w:w="1022" w:type="dxa"/>
            <w:tcBorders>
              <w:top w:val="single" w:color="auto" w:sz="4" w:space="0"/>
              <w:left w:val="single" w:color="auto" w:sz="4" w:space="0"/>
              <w:bottom w:val="single" w:color="auto" w:sz="4" w:space="0"/>
              <w:right w:val="single" w:color="auto" w:sz="4" w:space="0"/>
            </w:tcBorders>
            <w:vAlign w:val="center"/>
          </w:tcPr>
          <w:p w14:paraId="32AB08C2">
            <w:pPr>
              <w:spacing w:line="240" w:lineRule="auto"/>
              <w:ind w:firstLine="0"/>
              <w:jc w:val="center"/>
              <w:rPr>
                <w:color w:val="000000"/>
                <w:sz w:val="18"/>
                <w:szCs w:val="18"/>
              </w:rPr>
            </w:pPr>
            <w:r>
              <w:rPr>
                <w:rFonts w:hint="eastAsia"/>
                <w:color w:val="000000"/>
                <w:sz w:val="18"/>
                <w:szCs w:val="18"/>
              </w:rPr>
              <w:t>7</w:t>
            </w:r>
            <w:r>
              <w:rPr>
                <w:rFonts w:hint="eastAsia"/>
                <w:color w:val="000000"/>
                <w:kern w:val="0"/>
                <w:sz w:val="18"/>
                <w:szCs w:val="18"/>
              </w:rPr>
              <w:t>～</w:t>
            </w:r>
            <w:r>
              <w:rPr>
                <w:rFonts w:hint="eastAsia"/>
                <w:color w:val="000000"/>
                <w:sz w:val="18"/>
                <w:szCs w:val="18"/>
              </w:rPr>
              <w:t>9</w:t>
            </w:r>
          </w:p>
        </w:tc>
      </w:tr>
      <w:tr w14:paraId="53E6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534" w:type="dxa"/>
            <w:vMerge w:val="continue"/>
            <w:tcBorders>
              <w:left w:val="single" w:color="auto" w:sz="4" w:space="0"/>
              <w:bottom w:val="single" w:color="auto" w:sz="4" w:space="0"/>
              <w:right w:val="single" w:color="auto" w:sz="4" w:space="0"/>
            </w:tcBorders>
            <w:vAlign w:val="center"/>
          </w:tcPr>
          <w:p w14:paraId="37BDD6E6">
            <w:pPr>
              <w:spacing w:line="240" w:lineRule="auto"/>
              <w:ind w:firstLine="0"/>
              <w:jc w:val="center"/>
              <w:rPr>
                <w:color w:val="000000"/>
                <w:sz w:val="18"/>
                <w:szCs w:val="18"/>
              </w:rPr>
            </w:pPr>
          </w:p>
        </w:tc>
        <w:tc>
          <w:tcPr>
            <w:tcW w:w="992" w:type="dxa"/>
            <w:vMerge w:val="continue"/>
            <w:tcBorders>
              <w:left w:val="single" w:color="auto" w:sz="4" w:space="0"/>
              <w:bottom w:val="single" w:color="auto" w:sz="4" w:space="0"/>
              <w:right w:val="single" w:color="auto" w:sz="4" w:space="0"/>
            </w:tcBorders>
            <w:vAlign w:val="center"/>
          </w:tcPr>
          <w:p w14:paraId="08EA159E">
            <w:pPr>
              <w:spacing w:line="240" w:lineRule="auto"/>
              <w:ind w:firstLine="0"/>
              <w:rPr>
                <w:color w:val="000000"/>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174BFCA2">
            <w:pPr>
              <w:spacing w:line="240" w:lineRule="auto"/>
              <w:ind w:firstLine="0"/>
              <w:jc w:val="center"/>
              <w:rPr>
                <w:color w:val="000000"/>
                <w:sz w:val="18"/>
                <w:szCs w:val="18"/>
              </w:rPr>
            </w:pPr>
            <w:r>
              <w:rPr>
                <w:rFonts w:hint="eastAsia"/>
                <w:color w:val="000000"/>
                <w:sz w:val="18"/>
                <w:szCs w:val="18"/>
              </w:rPr>
              <w:t>孕穗期至灌浆期</w:t>
            </w:r>
          </w:p>
        </w:tc>
        <w:tc>
          <w:tcPr>
            <w:tcW w:w="1012" w:type="dxa"/>
            <w:tcBorders>
              <w:top w:val="single" w:color="auto" w:sz="4" w:space="0"/>
              <w:left w:val="single" w:color="auto" w:sz="4" w:space="0"/>
              <w:bottom w:val="single" w:color="auto" w:sz="4" w:space="0"/>
              <w:right w:val="single" w:color="auto" w:sz="4" w:space="0"/>
            </w:tcBorders>
            <w:vAlign w:val="center"/>
          </w:tcPr>
          <w:p w14:paraId="59278919">
            <w:pPr>
              <w:spacing w:line="240" w:lineRule="auto"/>
              <w:ind w:firstLine="0"/>
              <w:jc w:val="center"/>
              <w:rPr>
                <w:color w:val="000000"/>
                <w:kern w:val="0"/>
                <w:sz w:val="18"/>
                <w:szCs w:val="18"/>
              </w:rPr>
            </w:pPr>
            <w:r>
              <w:rPr>
                <w:rFonts w:hint="eastAsia"/>
                <w:color w:val="000000"/>
                <w:kern w:val="0"/>
                <w:sz w:val="18"/>
                <w:szCs w:val="18"/>
              </w:rPr>
              <w:t>田边表土发白，有细裂缝</w:t>
            </w:r>
          </w:p>
        </w:tc>
        <w:tc>
          <w:tcPr>
            <w:tcW w:w="1068" w:type="dxa"/>
            <w:tcBorders>
              <w:top w:val="single" w:color="auto" w:sz="4" w:space="0"/>
              <w:left w:val="single" w:color="auto" w:sz="4" w:space="0"/>
              <w:bottom w:val="single" w:color="auto" w:sz="4" w:space="0"/>
              <w:right w:val="single" w:color="auto" w:sz="4" w:space="0"/>
            </w:tcBorders>
            <w:vAlign w:val="center"/>
          </w:tcPr>
          <w:p w14:paraId="5CC37167">
            <w:pPr>
              <w:spacing w:line="240" w:lineRule="auto"/>
              <w:ind w:firstLine="0"/>
              <w:jc w:val="center"/>
              <w:rPr>
                <w:color w:val="000000"/>
                <w:sz w:val="18"/>
                <w:szCs w:val="18"/>
              </w:rPr>
            </w:pPr>
            <w:r>
              <w:rPr>
                <w:rFonts w:hint="eastAsia"/>
                <w:color w:val="000000"/>
                <w:sz w:val="18"/>
                <w:szCs w:val="18"/>
              </w:rPr>
              <w:t>田面水层</w:t>
            </w:r>
          </w:p>
          <w:p w14:paraId="50E256C8">
            <w:pPr>
              <w:spacing w:line="240" w:lineRule="auto"/>
              <w:ind w:firstLine="0"/>
              <w:jc w:val="center"/>
              <w:rPr>
                <w:color w:val="000000"/>
                <w:sz w:val="18"/>
                <w:szCs w:val="18"/>
              </w:rPr>
            </w:pPr>
            <w:r>
              <w:rPr>
                <w:rFonts w:hint="eastAsia"/>
                <w:color w:val="000000"/>
                <w:sz w:val="18"/>
                <w:szCs w:val="18"/>
              </w:rPr>
              <w:t>40</w:t>
            </w:r>
            <w:r>
              <w:rPr>
                <w:rFonts w:hint="eastAsia"/>
                <w:color w:val="000000"/>
                <w:kern w:val="0"/>
                <w:sz w:val="18"/>
                <w:szCs w:val="18"/>
              </w:rPr>
              <w:t>～</w:t>
            </w:r>
            <w:r>
              <w:rPr>
                <w:rFonts w:hint="eastAsia"/>
                <w:color w:val="000000"/>
                <w:sz w:val="18"/>
                <w:szCs w:val="18"/>
              </w:rPr>
              <w:t>60</w:t>
            </w:r>
            <w:r>
              <w:rPr>
                <w:color w:val="000000"/>
                <w:sz w:val="18"/>
                <w:szCs w:val="18"/>
              </w:rPr>
              <w:t xml:space="preserve"> mm</w:t>
            </w:r>
          </w:p>
        </w:tc>
        <w:tc>
          <w:tcPr>
            <w:tcW w:w="1031" w:type="dxa"/>
            <w:tcBorders>
              <w:top w:val="single" w:color="auto" w:sz="4" w:space="0"/>
              <w:left w:val="single" w:color="auto" w:sz="4" w:space="0"/>
              <w:bottom w:val="single" w:color="auto" w:sz="4" w:space="0"/>
              <w:right w:val="single" w:color="auto" w:sz="4" w:space="0"/>
            </w:tcBorders>
            <w:vAlign w:val="center"/>
          </w:tcPr>
          <w:p w14:paraId="162812BF">
            <w:pPr>
              <w:spacing w:line="240" w:lineRule="auto"/>
              <w:ind w:firstLine="0"/>
              <w:jc w:val="center"/>
              <w:rPr>
                <w:color w:val="000000"/>
                <w:sz w:val="18"/>
                <w:szCs w:val="18"/>
              </w:rPr>
            </w:pPr>
            <w:r>
              <w:rPr>
                <w:rFonts w:hint="eastAsia"/>
                <w:color w:val="000000"/>
                <w:sz w:val="18"/>
                <w:szCs w:val="18"/>
              </w:rPr>
              <w:t>43</w:t>
            </w:r>
            <w:r>
              <w:rPr>
                <w:rFonts w:hint="eastAsia"/>
                <w:color w:val="000000"/>
                <w:kern w:val="0"/>
                <w:sz w:val="18"/>
                <w:szCs w:val="18"/>
              </w:rPr>
              <w:t>～</w:t>
            </w:r>
            <w:r>
              <w:rPr>
                <w:rFonts w:hint="eastAsia"/>
                <w:color w:val="000000"/>
                <w:sz w:val="18"/>
                <w:szCs w:val="18"/>
              </w:rPr>
              <w:t>70</w:t>
            </w:r>
          </w:p>
        </w:tc>
        <w:tc>
          <w:tcPr>
            <w:tcW w:w="863" w:type="dxa"/>
            <w:tcBorders>
              <w:top w:val="single" w:color="auto" w:sz="4" w:space="0"/>
              <w:left w:val="single" w:color="auto" w:sz="4" w:space="0"/>
              <w:bottom w:val="single" w:color="auto" w:sz="4" w:space="0"/>
              <w:right w:val="single" w:color="auto" w:sz="4" w:space="0"/>
            </w:tcBorders>
            <w:vAlign w:val="center"/>
          </w:tcPr>
          <w:p w14:paraId="1A63E5EE">
            <w:pPr>
              <w:spacing w:line="240" w:lineRule="auto"/>
              <w:ind w:firstLine="0"/>
              <w:jc w:val="center"/>
              <w:rPr>
                <w:color w:val="000000"/>
                <w:sz w:val="18"/>
                <w:szCs w:val="18"/>
              </w:rPr>
            </w:pPr>
            <w:r>
              <w:rPr>
                <w:rFonts w:hint="eastAsia"/>
                <w:color w:val="000000"/>
                <w:sz w:val="18"/>
                <w:szCs w:val="18"/>
              </w:rPr>
              <w:t>9</w:t>
            </w:r>
            <w:r>
              <w:rPr>
                <w:rFonts w:hint="eastAsia"/>
                <w:color w:val="000000"/>
                <w:kern w:val="0"/>
                <w:sz w:val="18"/>
                <w:szCs w:val="18"/>
              </w:rPr>
              <w:t>～</w:t>
            </w:r>
            <w:r>
              <w:rPr>
                <w:rFonts w:hint="eastAsia"/>
                <w:color w:val="000000"/>
                <w:sz w:val="18"/>
                <w:szCs w:val="18"/>
              </w:rPr>
              <w:t>11</w:t>
            </w:r>
          </w:p>
        </w:tc>
        <w:tc>
          <w:tcPr>
            <w:tcW w:w="952" w:type="dxa"/>
            <w:tcBorders>
              <w:top w:val="single" w:color="auto" w:sz="4" w:space="0"/>
              <w:left w:val="single" w:color="auto" w:sz="4" w:space="0"/>
              <w:bottom w:val="single" w:color="auto" w:sz="4" w:space="0"/>
              <w:right w:val="single" w:color="auto" w:sz="4" w:space="0"/>
            </w:tcBorders>
            <w:vAlign w:val="center"/>
          </w:tcPr>
          <w:p w14:paraId="0578AC50">
            <w:pPr>
              <w:spacing w:line="240" w:lineRule="auto"/>
              <w:ind w:firstLine="0"/>
              <w:jc w:val="center"/>
              <w:rPr>
                <w:color w:val="000000"/>
                <w:sz w:val="18"/>
                <w:szCs w:val="18"/>
              </w:rPr>
            </w:pPr>
            <w:r>
              <w:rPr>
                <w:rFonts w:hint="eastAsia"/>
                <w:color w:val="000000"/>
                <w:sz w:val="18"/>
                <w:szCs w:val="18"/>
              </w:rPr>
              <w:t>10</w:t>
            </w:r>
            <w:r>
              <w:rPr>
                <w:rFonts w:hint="eastAsia"/>
                <w:color w:val="000000"/>
                <w:kern w:val="0"/>
                <w:sz w:val="18"/>
                <w:szCs w:val="18"/>
              </w:rPr>
              <w:t>～</w:t>
            </w:r>
            <w:r>
              <w:rPr>
                <w:rFonts w:hint="eastAsia"/>
                <w:color w:val="000000"/>
                <w:sz w:val="18"/>
                <w:szCs w:val="18"/>
              </w:rPr>
              <w:t>12</w:t>
            </w:r>
          </w:p>
        </w:tc>
        <w:tc>
          <w:tcPr>
            <w:tcW w:w="1022" w:type="dxa"/>
            <w:tcBorders>
              <w:top w:val="single" w:color="auto" w:sz="4" w:space="0"/>
              <w:left w:val="single" w:color="auto" w:sz="4" w:space="0"/>
              <w:bottom w:val="single" w:color="auto" w:sz="4" w:space="0"/>
              <w:right w:val="single" w:color="auto" w:sz="4" w:space="0"/>
            </w:tcBorders>
            <w:vAlign w:val="center"/>
          </w:tcPr>
          <w:p w14:paraId="01772C2B">
            <w:pPr>
              <w:spacing w:line="240" w:lineRule="auto"/>
              <w:ind w:firstLine="0"/>
              <w:jc w:val="center"/>
              <w:rPr>
                <w:color w:val="000000"/>
                <w:sz w:val="18"/>
                <w:szCs w:val="18"/>
              </w:rPr>
            </w:pPr>
            <w:r>
              <w:rPr>
                <w:rFonts w:hint="eastAsia"/>
                <w:color w:val="000000"/>
                <w:sz w:val="18"/>
                <w:szCs w:val="18"/>
              </w:rPr>
              <w:t>11</w:t>
            </w:r>
            <w:r>
              <w:rPr>
                <w:rFonts w:hint="eastAsia"/>
                <w:color w:val="000000"/>
                <w:kern w:val="0"/>
                <w:sz w:val="18"/>
                <w:szCs w:val="18"/>
              </w:rPr>
              <w:t>～</w:t>
            </w:r>
            <w:r>
              <w:rPr>
                <w:rFonts w:hint="eastAsia"/>
                <w:color w:val="000000"/>
                <w:sz w:val="18"/>
                <w:szCs w:val="18"/>
              </w:rPr>
              <w:t>13</w:t>
            </w:r>
          </w:p>
        </w:tc>
      </w:tr>
      <w:tr w14:paraId="158D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14:paraId="3DDE55C6">
            <w:pPr>
              <w:spacing w:line="240" w:lineRule="auto"/>
              <w:ind w:firstLine="0"/>
              <w:jc w:val="center"/>
              <w:rPr>
                <w:color w:val="000000"/>
                <w:sz w:val="18"/>
                <w:szCs w:val="18"/>
              </w:rPr>
            </w:pPr>
            <w:r>
              <w:rPr>
                <w:rFonts w:hint="eastAsia"/>
                <w:color w:val="000000"/>
                <w:sz w:val="18"/>
                <w:szCs w:val="18"/>
              </w:rPr>
              <w:t>注：如实施期间遇雨，根据雨量适当减少单次灌溉水量、增加灌溉间隔时长</w:t>
            </w:r>
          </w:p>
        </w:tc>
      </w:tr>
      <w:bookmarkEnd w:id="40"/>
    </w:tbl>
    <w:p w14:paraId="5D5F91B7">
      <w:pPr>
        <w:ind w:firstLine="0"/>
        <w:sectPr>
          <w:pgSz w:w="11906" w:h="16838"/>
          <w:pgMar w:top="567" w:right="1134" w:bottom="1134" w:left="1418" w:header="1418" w:footer="1134" w:gutter="0"/>
          <w:pgNumType w:start="1"/>
          <w:cols w:space="425" w:num="1"/>
          <w:formProt w:val="0"/>
          <w:docGrid w:type="lines" w:linePitch="312" w:charSpace="0"/>
        </w:sectPr>
      </w:pPr>
    </w:p>
    <w:p w14:paraId="06BA43CB">
      <w:pPr>
        <w:spacing w:before="240" w:after="240" w:line="276" w:lineRule="auto"/>
        <w:ind w:firstLine="0"/>
        <w:jc w:val="center"/>
        <w:outlineLvl w:val="0"/>
        <w:rPr>
          <w:rFonts w:eastAsia="黑体"/>
          <w:bCs/>
          <w:color w:val="0D0D0D" w:themeColor="text1" w:themeTint="F2"/>
          <w14:textFill>
            <w14:solidFill>
              <w14:schemeClr w14:val="tx1">
                <w14:lumMod w14:val="95000"/>
                <w14:lumOff w14:val="5000"/>
              </w14:schemeClr>
            </w14:solidFill>
          </w14:textFill>
        </w:rPr>
      </w:pPr>
      <w:r>
        <w:rPr>
          <w:rFonts w:eastAsia="黑体"/>
          <w:bCs/>
          <w:color w:val="0D0D0D" w:themeColor="text1" w:themeTint="F2"/>
          <w14:textFill>
            <w14:solidFill>
              <w14:schemeClr w14:val="tx1">
                <w14:lumMod w14:val="95000"/>
                <w14:lumOff w14:val="5000"/>
              </w14:schemeClr>
            </w14:solidFill>
          </w14:textFill>
        </w:rPr>
        <w:t>附录</w:t>
      </w:r>
      <w:r>
        <w:rPr>
          <w:rFonts w:hint="eastAsia" w:eastAsia="黑体"/>
          <w:bCs/>
          <w:color w:val="0D0D0D" w:themeColor="text1" w:themeTint="F2"/>
          <w14:textFill>
            <w14:solidFill>
              <w14:schemeClr w14:val="tx1">
                <w14:lumMod w14:val="95000"/>
                <w14:lumOff w14:val="5000"/>
              </w14:schemeClr>
            </w14:solidFill>
          </w14:textFill>
        </w:rPr>
        <w:t>C</w:t>
      </w:r>
    </w:p>
    <w:p w14:paraId="32C77B18">
      <w:pPr>
        <w:spacing w:line="360" w:lineRule="auto"/>
        <w:ind w:firstLine="0"/>
        <w:jc w:val="center"/>
        <w:rPr>
          <w:rFonts w:eastAsia="黑体"/>
          <w:b/>
          <w:color w:val="0D0D0D" w:themeColor="text1" w:themeTint="F2"/>
          <w:szCs w:val="24"/>
          <w14:textFill>
            <w14:solidFill>
              <w14:schemeClr w14:val="tx1">
                <w14:lumMod w14:val="95000"/>
                <w14:lumOff w14:val="5000"/>
              </w14:schemeClr>
            </w14:solidFill>
          </w14:textFill>
        </w:rPr>
      </w:pPr>
      <w:r>
        <w:rPr>
          <w:rFonts w:eastAsia="黑体"/>
          <w:b/>
          <w:color w:val="0D0D0D" w:themeColor="text1" w:themeTint="F2"/>
          <w:szCs w:val="24"/>
          <w14:textFill>
            <w14:solidFill>
              <w14:schemeClr w14:val="tx1">
                <w14:lumMod w14:val="95000"/>
                <w14:lumOff w14:val="5000"/>
              </w14:schemeClr>
            </w14:solidFill>
          </w14:textFill>
        </w:rPr>
        <w:t>（</w:t>
      </w:r>
      <w:r>
        <w:rPr>
          <w:rFonts w:hint="eastAsia" w:eastAsia="黑体"/>
          <w:b/>
          <w:color w:val="0D0D0D" w:themeColor="text1" w:themeTint="F2"/>
          <w:szCs w:val="24"/>
          <w14:textFill>
            <w14:solidFill>
              <w14:schemeClr w14:val="tx1">
                <w14:lumMod w14:val="95000"/>
                <w14:lumOff w14:val="5000"/>
              </w14:schemeClr>
            </w14:solidFill>
          </w14:textFill>
        </w:rPr>
        <w:t>规范</w:t>
      </w:r>
      <w:r>
        <w:rPr>
          <w:rFonts w:eastAsia="黑体"/>
          <w:b/>
          <w:color w:val="0D0D0D" w:themeColor="text1" w:themeTint="F2"/>
          <w:szCs w:val="24"/>
          <w14:textFill>
            <w14:solidFill>
              <w14:schemeClr w14:val="tx1">
                <w14:lumMod w14:val="95000"/>
                <w14:lumOff w14:val="5000"/>
              </w14:schemeClr>
            </w14:solidFill>
          </w14:textFill>
        </w:rPr>
        <w:t>性）</w:t>
      </w:r>
    </w:p>
    <w:p w14:paraId="29CA11F9">
      <w:pPr>
        <w:spacing w:line="360" w:lineRule="auto"/>
        <w:ind w:firstLine="0"/>
        <w:jc w:val="center"/>
        <w:rPr>
          <w:rFonts w:eastAsia="黑体"/>
          <w:b/>
          <w:color w:val="0D0D0D" w:themeColor="text1" w:themeTint="F2"/>
          <w:szCs w:val="24"/>
          <w14:textFill>
            <w14:solidFill>
              <w14:schemeClr w14:val="tx1">
                <w14:lumMod w14:val="95000"/>
                <w14:lumOff w14:val="5000"/>
              </w14:schemeClr>
            </w14:solidFill>
          </w14:textFill>
        </w:rPr>
      </w:pPr>
      <w:r>
        <w:rPr>
          <w:rFonts w:hint="eastAsia" w:eastAsia="黑体"/>
          <w:b/>
          <w:color w:val="0D0D0D" w:themeColor="text1" w:themeTint="F2"/>
          <w:szCs w:val="24"/>
          <w14:textFill>
            <w14:solidFill>
              <w14:schemeClr w14:val="tx1">
                <w14:lumMod w14:val="95000"/>
                <w14:lumOff w14:val="5000"/>
              </w14:schemeClr>
            </w14:solidFill>
          </w14:textFill>
        </w:rPr>
        <w:t>双季稻田土壤保育与碳氮减排效果监测与评估报告大纲</w:t>
      </w:r>
    </w:p>
    <w:p w14:paraId="48205785">
      <w:pPr>
        <w:spacing w:line="360" w:lineRule="auto"/>
        <w:ind w:firstLine="0"/>
        <w:rPr>
          <w:rFonts w:eastAsia="黑体"/>
          <w:b/>
          <w:color w:val="0D0D0D" w:themeColor="text1" w:themeTint="F2"/>
          <w:szCs w:val="24"/>
          <w14:textFill>
            <w14:solidFill>
              <w14:schemeClr w14:val="tx1">
                <w14:lumMod w14:val="95000"/>
                <w14:lumOff w14:val="5000"/>
              </w14:schemeClr>
            </w14:solidFill>
          </w14:textFill>
        </w:rPr>
      </w:pPr>
      <w:r>
        <w:rPr>
          <w:rFonts w:hint="eastAsia" w:eastAsia="黑体"/>
          <w:b/>
          <w:color w:val="0D0D0D" w:themeColor="text1" w:themeTint="F2"/>
          <w:szCs w:val="24"/>
          <w14:textFill>
            <w14:solidFill>
              <w14:schemeClr w14:val="tx1">
                <w14:lumMod w14:val="95000"/>
                <w14:lumOff w14:val="5000"/>
              </w14:schemeClr>
            </w14:solidFill>
          </w14:textFill>
        </w:rPr>
        <w:t>C.1 封面</w:t>
      </w:r>
    </w:p>
    <w:p w14:paraId="6EBA9910">
      <w:pPr>
        <w:ind w:firstLine="0"/>
      </w:pPr>
      <w:r>
        <w:rPr>
          <w:rFonts w:hint="eastAsia"/>
        </w:rPr>
        <w:t>报告标题、调查单位、编写单位和编写时间等。</w:t>
      </w:r>
    </w:p>
    <w:p w14:paraId="5A74C96A">
      <w:pPr>
        <w:spacing w:line="360" w:lineRule="auto"/>
        <w:ind w:firstLine="0"/>
        <w:rPr>
          <w:rFonts w:eastAsia="黑体"/>
          <w:b/>
          <w:color w:val="0D0D0D" w:themeColor="text1" w:themeTint="F2"/>
          <w:szCs w:val="24"/>
          <w14:textFill>
            <w14:solidFill>
              <w14:schemeClr w14:val="tx1">
                <w14:lumMod w14:val="95000"/>
                <w14:lumOff w14:val="5000"/>
              </w14:schemeClr>
            </w14:solidFill>
          </w14:textFill>
        </w:rPr>
      </w:pPr>
      <w:r>
        <w:rPr>
          <w:rFonts w:hint="eastAsia" w:eastAsia="黑体"/>
          <w:b/>
          <w:color w:val="0D0D0D" w:themeColor="text1" w:themeTint="F2"/>
          <w:szCs w:val="24"/>
          <w14:textFill>
            <w14:solidFill>
              <w14:schemeClr w14:val="tx1">
                <w14:lumMod w14:val="95000"/>
                <w14:lumOff w14:val="5000"/>
              </w14:schemeClr>
            </w14:solidFill>
          </w14:textFill>
        </w:rPr>
        <w:t>C</w:t>
      </w:r>
      <w:r>
        <w:rPr>
          <w:rFonts w:eastAsia="黑体"/>
          <w:b/>
          <w:color w:val="0D0D0D" w:themeColor="text1" w:themeTint="F2"/>
          <w:szCs w:val="24"/>
          <w14:textFill>
            <w14:solidFill>
              <w14:schemeClr w14:val="tx1">
                <w14:lumMod w14:val="95000"/>
                <w14:lumOff w14:val="5000"/>
              </w14:schemeClr>
            </w14:solidFill>
          </w14:textFill>
        </w:rPr>
        <w:t xml:space="preserve">.2 </w:t>
      </w:r>
      <w:r>
        <w:rPr>
          <w:rFonts w:hint="eastAsia" w:eastAsia="黑体"/>
          <w:b/>
          <w:color w:val="0D0D0D" w:themeColor="text1" w:themeTint="F2"/>
          <w:szCs w:val="24"/>
          <w14:textFill>
            <w14:solidFill>
              <w14:schemeClr w14:val="tx1">
                <w14:lumMod w14:val="95000"/>
                <w14:lumOff w14:val="5000"/>
              </w14:schemeClr>
            </w14:solidFill>
          </w14:textFill>
        </w:rPr>
        <w:t>报告正文</w:t>
      </w:r>
    </w:p>
    <w:p w14:paraId="13BE21FC">
      <w:pPr>
        <w:ind w:firstLine="0"/>
      </w:pPr>
      <w:r>
        <w:t>1</w:t>
      </w:r>
      <w:r>
        <w:rPr>
          <w:rFonts w:hint="eastAsia"/>
        </w:rPr>
        <w:t>）监测背景与目的：明确任务来源，双季稻田及其土壤保育和碳氮减排措施的实施情况，监测的目标等。</w:t>
      </w:r>
    </w:p>
    <w:p w14:paraId="7999E566">
      <w:pPr>
        <w:ind w:firstLine="0"/>
      </w:pPr>
      <w:r>
        <w:t>2</w:t>
      </w:r>
      <w:r>
        <w:rPr>
          <w:rFonts w:hint="eastAsia"/>
        </w:rPr>
        <w:t>）监测评价评估基本情况：包括评估范围，评估依据，评估标准，评估方法，评估程序等。</w:t>
      </w:r>
    </w:p>
    <w:p w14:paraId="28EA7E03">
      <w:pPr>
        <w:ind w:firstLine="0"/>
      </w:pPr>
      <w:r>
        <w:t>3</w:t>
      </w:r>
      <w:r>
        <w:rPr>
          <w:rFonts w:hint="eastAsia"/>
        </w:rPr>
        <w:t>）监测工作开展情况，包括监测工作计划、监测内容，监测时间、地点及参加工作人员的组成情况等。</w:t>
      </w:r>
    </w:p>
    <w:p w14:paraId="2A19F12F">
      <w:pPr>
        <w:ind w:firstLine="0"/>
      </w:pPr>
      <w:r>
        <w:t>4</w:t>
      </w:r>
      <w:r>
        <w:rPr>
          <w:rFonts w:hint="eastAsia"/>
        </w:rPr>
        <w:t>）双季稻田土壤保育与碳氮减排效果分析与评估，包括土壤地力、碳氮减排效果等监测分析结果；目前存在问题分析等。</w:t>
      </w:r>
    </w:p>
    <w:p w14:paraId="060EAF50">
      <w:pPr>
        <w:ind w:firstLine="0"/>
      </w:pPr>
      <w:r>
        <w:t>5</w:t>
      </w:r>
      <w:r>
        <w:rPr>
          <w:rFonts w:hint="eastAsia"/>
        </w:rPr>
        <w:t>）水稻生长监测结果分析与评估，包括水稻生长状况、水稻产量等监测分析结果；目前存在问题分析等。</w:t>
      </w:r>
    </w:p>
    <w:p w14:paraId="5BAA332F">
      <w:pPr>
        <w:ind w:firstLine="0"/>
      </w:pPr>
      <w:r>
        <w:t>6</w:t>
      </w:r>
      <w:r>
        <w:rPr>
          <w:rFonts w:hint="eastAsia"/>
        </w:rPr>
        <w:t>）结论与建议。综合评价土壤保育与碳氮减排技术的综合效果（分“优、良、中、差”四级评价），提出后续优化建议。</w:t>
      </w:r>
    </w:p>
    <w:p w14:paraId="3FCA6F67">
      <w:pPr>
        <w:spacing w:line="360" w:lineRule="auto"/>
        <w:ind w:firstLine="0"/>
        <w:rPr>
          <w:rFonts w:eastAsia="黑体"/>
          <w:b/>
          <w:color w:val="0D0D0D" w:themeColor="text1" w:themeTint="F2"/>
          <w:szCs w:val="24"/>
          <w14:textFill>
            <w14:solidFill>
              <w14:schemeClr w14:val="tx1">
                <w14:lumMod w14:val="95000"/>
                <w14:lumOff w14:val="5000"/>
              </w14:schemeClr>
            </w14:solidFill>
          </w14:textFill>
        </w:rPr>
      </w:pPr>
      <w:r>
        <w:rPr>
          <w:rFonts w:hint="eastAsia" w:eastAsia="黑体"/>
          <w:b/>
          <w:color w:val="0D0D0D" w:themeColor="text1" w:themeTint="F2"/>
          <w:szCs w:val="24"/>
          <w14:textFill>
            <w14:solidFill>
              <w14:schemeClr w14:val="tx1">
                <w14:lumMod w14:val="95000"/>
                <w14:lumOff w14:val="5000"/>
              </w14:schemeClr>
            </w14:solidFill>
          </w14:textFill>
        </w:rPr>
        <w:t>C.3 报告附件</w:t>
      </w:r>
    </w:p>
    <w:p w14:paraId="206F1073">
      <w:pPr>
        <w:ind w:firstLine="0"/>
      </w:pPr>
      <w:r>
        <w:t>1</w:t>
      </w:r>
      <w:r>
        <w:rPr>
          <w:rFonts w:hint="eastAsia"/>
        </w:rPr>
        <w:t>）监测点位分布图。</w:t>
      </w:r>
    </w:p>
    <w:p w14:paraId="5FD6BDD4">
      <w:pPr>
        <w:ind w:firstLine="0"/>
      </w:pPr>
      <w:r>
        <w:t>2</w:t>
      </w:r>
      <w:r>
        <w:rPr>
          <w:rFonts w:hint="eastAsia"/>
        </w:rPr>
        <w:t>）原始数据表。</w:t>
      </w:r>
    </w:p>
    <w:p w14:paraId="4C3D54BE">
      <w:pPr>
        <w:ind w:firstLine="0"/>
      </w:pPr>
      <w:r>
        <w:t>3</w:t>
      </w:r>
      <w:r>
        <w:rPr>
          <w:rFonts w:hint="eastAsia"/>
        </w:rPr>
        <w:t>）检测机构资质证明。</w:t>
      </w:r>
    </w:p>
    <w:p w14:paraId="4D5FC4F1">
      <w:pPr>
        <w:spacing w:line="360" w:lineRule="auto"/>
        <w:jc w:val="center"/>
      </w:pPr>
      <w:r>
        <w:rPr>
          <w:color w:val="000000" w:themeColor="text1"/>
          <w14:textFill>
            <w14:solidFill>
              <w14:schemeClr w14:val="tx1"/>
            </w14:solidFill>
          </w14:textFill>
        </w:rP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D6FC6">
    <w:pPr>
      <w:pStyle w:val="24"/>
      <w:rPr>
        <w:rStyle w:val="14"/>
      </w:rP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FF94">
    <w:pPr>
      <w:pStyle w:val="23"/>
      <w:rPr>
        <w:rStyle w:val="14"/>
      </w:rPr>
    </w:pPr>
    <w:r>
      <w:rPr>
        <w:rStyle w:val="14"/>
      </w:rPr>
      <w:fldChar w:fldCharType="begin"/>
    </w:r>
    <w:r>
      <w:rPr>
        <w:rStyle w:val="14"/>
      </w:rPr>
      <w:instrText xml:space="preserve">PAGE  </w:instrText>
    </w:r>
    <w:r>
      <w:rPr>
        <w:rStyle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665239590"/>
    </w:sdtPr>
    <w:sdtEndPr>
      <w:rPr>
        <w:rFonts w:ascii="Times New Roman" w:hAnsi="Times New Roman" w:cs="Times New Roman"/>
      </w:rPr>
    </w:sdtEndPr>
    <w:sdtContent>
      <w:p w14:paraId="7A8A707F">
        <w:pPr>
          <w:pStyle w:val="6"/>
          <w:jc w:val="right"/>
          <w:rPr>
            <w:rStyle w:val="14"/>
            <w:rFonts w:cs="Times New Roman" w:eastAsiaTheme="minorEastAsia"/>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A7E3">
    <w:pPr>
      <w:pStyle w:val="22"/>
    </w:pPr>
    <w:r>
      <w:rPr>
        <w:rFonts w:hint="eastAsia"/>
      </w:rPr>
      <w:t>××</w:t>
    </w:r>
    <w:r>
      <w:t>/T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3BCB">
    <w:pPr>
      <w:pStyle w:val="21"/>
    </w:pPr>
    <w:r>
      <w:rPr>
        <w:rFonts w:hint="eastAsia"/>
      </w:rPr>
      <w:t>××</w:t>
    </w:r>
    <w:r>
      <w:t>/T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E5A29">
    <w:pPr>
      <w:pStyle w:val="25"/>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yMDW3MLAwM7U0MDRQ0lEKTi0uzszPAykwqQUAwM2moSwAAAA="/>
    <w:docVar w:name="ne_build" w:val="16.0.18623"/>
    <w:docVar w:name="ne_os" w:val="Mircrosoft"/>
  </w:docVars>
  <w:rsids>
    <w:rsidRoot w:val="009466CA"/>
    <w:rsid w:val="000003DB"/>
    <w:rsid w:val="0000094D"/>
    <w:rsid w:val="00001D76"/>
    <w:rsid w:val="00002A42"/>
    <w:rsid w:val="00004571"/>
    <w:rsid w:val="00004CEA"/>
    <w:rsid w:val="0000524C"/>
    <w:rsid w:val="00006634"/>
    <w:rsid w:val="00007338"/>
    <w:rsid w:val="00011CAF"/>
    <w:rsid w:val="00014334"/>
    <w:rsid w:val="00014659"/>
    <w:rsid w:val="000209FD"/>
    <w:rsid w:val="00021826"/>
    <w:rsid w:val="00025F12"/>
    <w:rsid w:val="000270C8"/>
    <w:rsid w:val="0002759A"/>
    <w:rsid w:val="00027B22"/>
    <w:rsid w:val="00027D94"/>
    <w:rsid w:val="00032988"/>
    <w:rsid w:val="00032C2E"/>
    <w:rsid w:val="000339DA"/>
    <w:rsid w:val="0003465A"/>
    <w:rsid w:val="00034A83"/>
    <w:rsid w:val="00035304"/>
    <w:rsid w:val="0003712D"/>
    <w:rsid w:val="00042C6D"/>
    <w:rsid w:val="0004565F"/>
    <w:rsid w:val="00045B81"/>
    <w:rsid w:val="00047FB3"/>
    <w:rsid w:val="00050D6E"/>
    <w:rsid w:val="0005160A"/>
    <w:rsid w:val="00052189"/>
    <w:rsid w:val="00055203"/>
    <w:rsid w:val="00057649"/>
    <w:rsid w:val="00060EBE"/>
    <w:rsid w:val="00065CE6"/>
    <w:rsid w:val="00072575"/>
    <w:rsid w:val="00072AC2"/>
    <w:rsid w:val="00072B85"/>
    <w:rsid w:val="00080CE2"/>
    <w:rsid w:val="00082A6F"/>
    <w:rsid w:val="00087104"/>
    <w:rsid w:val="000921C9"/>
    <w:rsid w:val="00092391"/>
    <w:rsid w:val="00093EDF"/>
    <w:rsid w:val="000956C7"/>
    <w:rsid w:val="00097B21"/>
    <w:rsid w:val="000A1D0C"/>
    <w:rsid w:val="000A38E7"/>
    <w:rsid w:val="000A6027"/>
    <w:rsid w:val="000A660D"/>
    <w:rsid w:val="000A67DD"/>
    <w:rsid w:val="000A73D8"/>
    <w:rsid w:val="000B1659"/>
    <w:rsid w:val="000B3A8D"/>
    <w:rsid w:val="000C0045"/>
    <w:rsid w:val="000C4A42"/>
    <w:rsid w:val="000D03CC"/>
    <w:rsid w:val="000D168A"/>
    <w:rsid w:val="000D2A2F"/>
    <w:rsid w:val="000D6225"/>
    <w:rsid w:val="000D7338"/>
    <w:rsid w:val="000D7E48"/>
    <w:rsid w:val="000E04EB"/>
    <w:rsid w:val="000E0AC1"/>
    <w:rsid w:val="000E46D9"/>
    <w:rsid w:val="000E4F49"/>
    <w:rsid w:val="000E53CC"/>
    <w:rsid w:val="000E5AD4"/>
    <w:rsid w:val="000E5EC4"/>
    <w:rsid w:val="000E78FC"/>
    <w:rsid w:val="000F09CD"/>
    <w:rsid w:val="000F11AE"/>
    <w:rsid w:val="000F629B"/>
    <w:rsid w:val="000F6409"/>
    <w:rsid w:val="00101390"/>
    <w:rsid w:val="001015C8"/>
    <w:rsid w:val="00102384"/>
    <w:rsid w:val="00102811"/>
    <w:rsid w:val="00103375"/>
    <w:rsid w:val="00103A64"/>
    <w:rsid w:val="00106AF8"/>
    <w:rsid w:val="00107C82"/>
    <w:rsid w:val="00110D79"/>
    <w:rsid w:val="00111ECD"/>
    <w:rsid w:val="00113741"/>
    <w:rsid w:val="00113E10"/>
    <w:rsid w:val="00116749"/>
    <w:rsid w:val="00117B14"/>
    <w:rsid w:val="0012054D"/>
    <w:rsid w:val="0012194A"/>
    <w:rsid w:val="00122093"/>
    <w:rsid w:val="00124356"/>
    <w:rsid w:val="00126AA0"/>
    <w:rsid w:val="00127608"/>
    <w:rsid w:val="0013050F"/>
    <w:rsid w:val="00132A04"/>
    <w:rsid w:val="001338D6"/>
    <w:rsid w:val="00133A5E"/>
    <w:rsid w:val="00137DD6"/>
    <w:rsid w:val="00140EFE"/>
    <w:rsid w:val="00144D91"/>
    <w:rsid w:val="0015181A"/>
    <w:rsid w:val="00152257"/>
    <w:rsid w:val="0015302B"/>
    <w:rsid w:val="001556E0"/>
    <w:rsid w:val="0015591F"/>
    <w:rsid w:val="00155C85"/>
    <w:rsid w:val="00156F28"/>
    <w:rsid w:val="00156F4D"/>
    <w:rsid w:val="00157AAA"/>
    <w:rsid w:val="00157FA2"/>
    <w:rsid w:val="00161395"/>
    <w:rsid w:val="001616A7"/>
    <w:rsid w:val="0016272F"/>
    <w:rsid w:val="00162E70"/>
    <w:rsid w:val="001630E1"/>
    <w:rsid w:val="00163743"/>
    <w:rsid w:val="001663C8"/>
    <w:rsid w:val="001702A8"/>
    <w:rsid w:val="00170FDF"/>
    <w:rsid w:val="0017423C"/>
    <w:rsid w:val="0017476A"/>
    <w:rsid w:val="001749AE"/>
    <w:rsid w:val="00174EFB"/>
    <w:rsid w:val="00174FB1"/>
    <w:rsid w:val="00175B71"/>
    <w:rsid w:val="00176C96"/>
    <w:rsid w:val="00177186"/>
    <w:rsid w:val="00180410"/>
    <w:rsid w:val="00181BC4"/>
    <w:rsid w:val="0018468B"/>
    <w:rsid w:val="00185B1C"/>
    <w:rsid w:val="001869BE"/>
    <w:rsid w:val="00186CAD"/>
    <w:rsid w:val="00187BFA"/>
    <w:rsid w:val="001914E5"/>
    <w:rsid w:val="001937A5"/>
    <w:rsid w:val="0019414B"/>
    <w:rsid w:val="00195548"/>
    <w:rsid w:val="001964A2"/>
    <w:rsid w:val="0019766D"/>
    <w:rsid w:val="001A17E8"/>
    <w:rsid w:val="001A1B24"/>
    <w:rsid w:val="001A54C7"/>
    <w:rsid w:val="001A593D"/>
    <w:rsid w:val="001B0F5E"/>
    <w:rsid w:val="001B2B1B"/>
    <w:rsid w:val="001B5385"/>
    <w:rsid w:val="001B6F09"/>
    <w:rsid w:val="001C3C6B"/>
    <w:rsid w:val="001C7993"/>
    <w:rsid w:val="001D1A5A"/>
    <w:rsid w:val="001D1B3F"/>
    <w:rsid w:val="001D212F"/>
    <w:rsid w:val="001D3500"/>
    <w:rsid w:val="001D3D8B"/>
    <w:rsid w:val="001D45C2"/>
    <w:rsid w:val="001D4A2A"/>
    <w:rsid w:val="001D61FE"/>
    <w:rsid w:val="001D75FE"/>
    <w:rsid w:val="001D7677"/>
    <w:rsid w:val="001E2806"/>
    <w:rsid w:val="001E3704"/>
    <w:rsid w:val="001E411B"/>
    <w:rsid w:val="001E4E02"/>
    <w:rsid w:val="001E6267"/>
    <w:rsid w:val="001E73E2"/>
    <w:rsid w:val="001F01BD"/>
    <w:rsid w:val="001F3999"/>
    <w:rsid w:val="001F4469"/>
    <w:rsid w:val="00200FF4"/>
    <w:rsid w:val="00202FE9"/>
    <w:rsid w:val="00205B3F"/>
    <w:rsid w:val="00205D05"/>
    <w:rsid w:val="002061D8"/>
    <w:rsid w:val="002075F2"/>
    <w:rsid w:val="0021131F"/>
    <w:rsid w:val="00212B2E"/>
    <w:rsid w:val="0021668E"/>
    <w:rsid w:val="00216C2F"/>
    <w:rsid w:val="00217E3E"/>
    <w:rsid w:val="00225402"/>
    <w:rsid w:val="0022697F"/>
    <w:rsid w:val="00226F3D"/>
    <w:rsid w:val="00227B30"/>
    <w:rsid w:val="00230C69"/>
    <w:rsid w:val="002317F3"/>
    <w:rsid w:val="00232CD1"/>
    <w:rsid w:val="002335F7"/>
    <w:rsid w:val="00233803"/>
    <w:rsid w:val="00233B11"/>
    <w:rsid w:val="00236C23"/>
    <w:rsid w:val="002374A4"/>
    <w:rsid w:val="0024005B"/>
    <w:rsid w:val="00240BD7"/>
    <w:rsid w:val="00242E64"/>
    <w:rsid w:val="00243D1A"/>
    <w:rsid w:val="00244B03"/>
    <w:rsid w:val="00245954"/>
    <w:rsid w:val="00245D52"/>
    <w:rsid w:val="00246DD1"/>
    <w:rsid w:val="0025179A"/>
    <w:rsid w:val="00251C7F"/>
    <w:rsid w:val="002555C8"/>
    <w:rsid w:val="00255C2F"/>
    <w:rsid w:val="0025611F"/>
    <w:rsid w:val="00256687"/>
    <w:rsid w:val="00257AAA"/>
    <w:rsid w:val="00257B44"/>
    <w:rsid w:val="00257C0D"/>
    <w:rsid w:val="00260488"/>
    <w:rsid w:val="00260A65"/>
    <w:rsid w:val="00261357"/>
    <w:rsid w:val="00261991"/>
    <w:rsid w:val="00267BC6"/>
    <w:rsid w:val="00273B3A"/>
    <w:rsid w:val="00273FF4"/>
    <w:rsid w:val="0027479B"/>
    <w:rsid w:val="00276405"/>
    <w:rsid w:val="00276924"/>
    <w:rsid w:val="00276E0C"/>
    <w:rsid w:val="0027753A"/>
    <w:rsid w:val="00277F2E"/>
    <w:rsid w:val="00282692"/>
    <w:rsid w:val="002827F7"/>
    <w:rsid w:val="0028323A"/>
    <w:rsid w:val="002865F7"/>
    <w:rsid w:val="00287294"/>
    <w:rsid w:val="002917EC"/>
    <w:rsid w:val="00292D55"/>
    <w:rsid w:val="002A211E"/>
    <w:rsid w:val="002A79C8"/>
    <w:rsid w:val="002B1366"/>
    <w:rsid w:val="002B2C23"/>
    <w:rsid w:val="002B4F9F"/>
    <w:rsid w:val="002B7F02"/>
    <w:rsid w:val="002C037F"/>
    <w:rsid w:val="002C03C8"/>
    <w:rsid w:val="002C1D1A"/>
    <w:rsid w:val="002C26EB"/>
    <w:rsid w:val="002C44E8"/>
    <w:rsid w:val="002C5E61"/>
    <w:rsid w:val="002D0D8F"/>
    <w:rsid w:val="002D23C3"/>
    <w:rsid w:val="002E47AF"/>
    <w:rsid w:val="002E55FF"/>
    <w:rsid w:val="002E5FA1"/>
    <w:rsid w:val="002F20B7"/>
    <w:rsid w:val="002F370B"/>
    <w:rsid w:val="002F47AC"/>
    <w:rsid w:val="002F4C72"/>
    <w:rsid w:val="002F5A04"/>
    <w:rsid w:val="002F7C28"/>
    <w:rsid w:val="00300A3F"/>
    <w:rsid w:val="003019DC"/>
    <w:rsid w:val="00303317"/>
    <w:rsid w:val="00306FAF"/>
    <w:rsid w:val="00310911"/>
    <w:rsid w:val="00311FDA"/>
    <w:rsid w:val="00312487"/>
    <w:rsid w:val="003129F7"/>
    <w:rsid w:val="003130DA"/>
    <w:rsid w:val="00314121"/>
    <w:rsid w:val="003148E4"/>
    <w:rsid w:val="00315B77"/>
    <w:rsid w:val="003207D4"/>
    <w:rsid w:val="00325FCB"/>
    <w:rsid w:val="003270F6"/>
    <w:rsid w:val="00335F8C"/>
    <w:rsid w:val="00340A02"/>
    <w:rsid w:val="0034201B"/>
    <w:rsid w:val="00345A07"/>
    <w:rsid w:val="00347DCB"/>
    <w:rsid w:val="00350225"/>
    <w:rsid w:val="003508D0"/>
    <w:rsid w:val="00353671"/>
    <w:rsid w:val="00353F09"/>
    <w:rsid w:val="003543BD"/>
    <w:rsid w:val="00354BF4"/>
    <w:rsid w:val="00356997"/>
    <w:rsid w:val="003571FF"/>
    <w:rsid w:val="00357DB5"/>
    <w:rsid w:val="00362EAE"/>
    <w:rsid w:val="0036689F"/>
    <w:rsid w:val="00366D8B"/>
    <w:rsid w:val="00371A2A"/>
    <w:rsid w:val="00373948"/>
    <w:rsid w:val="003741FA"/>
    <w:rsid w:val="003742EA"/>
    <w:rsid w:val="0037639C"/>
    <w:rsid w:val="00382D67"/>
    <w:rsid w:val="00383D75"/>
    <w:rsid w:val="0038500F"/>
    <w:rsid w:val="0038596D"/>
    <w:rsid w:val="00387724"/>
    <w:rsid w:val="00387AFF"/>
    <w:rsid w:val="00387D00"/>
    <w:rsid w:val="003904A0"/>
    <w:rsid w:val="003916F1"/>
    <w:rsid w:val="00393A23"/>
    <w:rsid w:val="00393F8F"/>
    <w:rsid w:val="003948E6"/>
    <w:rsid w:val="00396FFA"/>
    <w:rsid w:val="003A18A5"/>
    <w:rsid w:val="003A4276"/>
    <w:rsid w:val="003A5CCA"/>
    <w:rsid w:val="003A66DE"/>
    <w:rsid w:val="003A7ECA"/>
    <w:rsid w:val="003A7FAD"/>
    <w:rsid w:val="003B26CC"/>
    <w:rsid w:val="003B5BEE"/>
    <w:rsid w:val="003B6671"/>
    <w:rsid w:val="003B6BF5"/>
    <w:rsid w:val="003B6EB9"/>
    <w:rsid w:val="003C1BCE"/>
    <w:rsid w:val="003C55A9"/>
    <w:rsid w:val="003C5C22"/>
    <w:rsid w:val="003C757D"/>
    <w:rsid w:val="003D16AD"/>
    <w:rsid w:val="003D3CD1"/>
    <w:rsid w:val="003D6D2F"/>
    <w:rsid w:val="003E021C"/>
    <w:rsid w:val="003E3250"/>
    <w:rsid w:val="003E54C4"/>
    <w:rsid w:val="003E5E47"/>
    <w:rsid w:val="003E7183"/>
    <w:rsid w:val="003E745A"/>
    <w:rsid w:val="003F3E96"/>
    <w:rsid w:val="003F58BC"/>
    <w:rsid w:val="003F6766"/>
    <w:rsid w:val="00400B55"/>
    <w:rsid w:val="004065C5"/>
    <w:rsid w:val="00407E20"/>
    <w:rsid w:val="0041288E"/>
    <w:rsid w:val="00413B6E"/>
    <w:rsid w:val="00413CEB"/>
    <w:rsid w:val="00414422"/>
    <w:rsid w:val="004153B0"/>
    <w:rsid w:val="00415470"/>
    <w:rsid w:val="004168DD"/>
    <w:rsid w:val="00416C2B"/>
    <w:rsid w:val="004171FB"/>
    <w:rsid w:val="004202E7"/>
    <w:rsid w:val="00420C19"/>
    <w:rsid w:val="0042273C"/>
    <w:rsid w:val="004238E0"/>
    <w:rsid w:val="00423BF8"/>
    <w:rsid w:val="00423E98"/>
    <w:rsid w:val="00424EAA"/>
    <w:rsid w:val="0042663A"/>
    <w:rsid w:val="00426BA2"/>
    <w:rsid w:val="0043086A"/>
    <w:rsid w:val="004322C7"/>
    <w:rsid w:val="00432D2F"/>
    <w:rsid w:val="004338CB"/>
    <w:rsid w:val="00434BE6"/>
    <w:rsid w:val="00434FAD"/>
    <w:rsid w:val="004376A9"/>
    <w:rsid w:val="00440797"/>
    <w:rsid w:val="00444283"/>
    <w:rsid w:val="00450299"/>
    <w:rsid w:val="0045151E"/>
    <w:rsid w:val="004552FA"/>
    <w:rsid w:val="00455725"/>
    <w:rsid w:val="004606F1"/>
    <w:rsid w:val="00460FE8"/>
    <w:rsid w:val="00463212"/>
    <w:rsid w:val="00465497"/>
    <w:rsid w:val="00465F58"/>
    <w:rsid w:val="00466B47"/>
    <w:rsid w:val="0046708D"/>
    <w:rsid w:val="00467374"/>
    <w:rsid w:val="00467D26"/>
    <w:rsid w:val="00470373"/>
    <w:rsid w:val="0047183B"/>
    <w:rsid w:val="00472324"/>
    <w:rsid w:val="004739C8"/>
    <w:rsid w:val="0047673F"/>
    <w:rsid w:val="00484778"/>
    <w:rsid w:val="00487974"/>
    <w:rsid w:val="00490EB0"/>
    <w:rsid w:val="00491D5D"/>
    <w:rsid w:val="004944FF"/>
    <w:rsid w:val="004951B0"/>
    <w:rsid w:val="00495BDC"/>
    <w:rsid w:val="00496EF6"/>
    <w:rsid w:val="00497B35"/>
    <w:rsid w:val="004A3621"/>
    <w:rsid w:val="004A41EF"/>
    <w:rsid w:val="004A6F30"/>
    <w:rsid w:val="004B0537"/>
    <w:rsid w:val="004B101D"/>
    <w:rsid w:val="004B16E7"/>
    <w:rsid w:val="004B1EFF"/>
    <w:rsid w:val="004B3EFC"/>
    <w:rsid w:val="004B4A56"/>
    <w:rsid w:val="004B5839"/>
    <w:rsid w:val="004B5BBF"/>
    <w:rsid w:val="004B6452"/>
    <w:rsid w:val="004B6473"/>
    <w:rsid w:val="004B7406"/>
    <w:rsid w:val="004C0F64"/>
    <w:rsid w:val="004C1B2D"/>
    <w:rsid w:val="004C35EC"/>
    <w:rsid w:val="004C4F33"/>
    <w:rsid w:val="004C69A5"/>
    <w:rsid w:val="004C70F0"/>
    <w:rsid w:val="004D1546"/>
    <w:rsid w:val="004D2E4D"/>
    <w:rsid w:val="004D443B"/>
    <w:rsid w:val="004D592F"/>
    <w:rsid w:val="004E077F"/>
    <w:rsid w:val="004E1A8E"/>
    <w:rsid w:val="004E23C0"/>
    <w:rsid w:val="004E3173"/>
    <w:rsid w:val="004E552C"/>
    <w:rsid w:val="004E5CB4"/>
    <w:rsid w:val="004F435A"/>
    <w:rsid w:val="004F525C"/>
    <w:rsid w:val="004F7538"/>
    <w:rsid w:val="005017D3"/>
    <w:rsid w:val="005020E5"/>
    <w:rsid w:val="005032B4"/>
    <w:rsid w:val="00503C37"/>
    <w:rsid w:val="0050547E"/>
    <w:rsid w:val="00506F67"/>
    <w:rsid w:val="005104A3"/>
    <w:rsid w:val="00514306"/>
    <w:rsid w:val="005143F5"/>
    <w:rsid w:val="00516857"/>
    <w:rsid w:val="00522B04"/>
    <w:rsid w:val="0052326F"/>
    <w:rsid w:val="00525B18"/>
    <w:rsid w:val="005264B9"/>
    <w:rsid w:val="00527CD8"/>
    <w:rsid w:val="005317F2"/>
    <w:rsid w:val="005321E8"/>
    <w:rsid w:val="005338E3"/>
    <w:rsid w:val="00536BB5"/>
    <w:rsid w:val="00536EB1"/>
    <w:rsid w:val="00542DB2"/>
    <w:rsid w:val="00551328"/>
    <w:rsid w:val="0055172B"/>
    <w:rsid w:val="005519B2"/>
    <w:rsid w:val="00552C2C"/>
    <w:rsid w:val="00552E6B"/>
    <w:rsid w:val="00553420"/>
    <w:rsid w:val="00553527"/>
    <w:rsid w:val="00555C53"/>
    <w:rsid w:val="00564649"/>
    <w:rsid w:val="0057003D"/>
    <w:rsid w:val="005706FA"/>
    <w:rsid w:val="0057075D"/>
    <w:rsid w:val="00570B75"/>
    <w:rsid w:val="00570D76"/>
    <w:rsid w:val="00573913"/>
    <w:rsid w:val="00576DDF"/>
    <w:rsid w:val="005770EE"/>
    <w:rsid w:val="00586D6B"/>
    <w:rsid w:val="00592E40"/>
    <w:rsid w:val="00594B70"/>
    <w:rsid w:val="00594D01"/>
    <w:rsid w:val="0059704A"/>
    <w:rsid w:val="005979BD"/>
    <w:rsid w:val="005A22EB"/>
    <w:rsid w:val="005A2D41"/>
    <w:rsid w:val="005A3C68"/>
    <w:rsid w:val="005A57C1"/>
    <w:rsid w:val="005A618E"/>
    <w:rsid w:val="005A76D8"/>
    <w:rsid w:val="005A7FEF"/>
    <w:rsid w:val="005B0DF0"/>
    <w:rsid w:val="005B3CBA"/>
    <w:rsid w:val="005B40EB"/>
    <w:rsid w:val="005B4962"/>
    <w:rsid w:val="005B6737"/>
    <w:rsid w:val="005B759E"/>
    <w:rsid w:val="005B7DB6"/>
    <w:rsid w:val="005C062F"/>
    <w:rsid w:val="005C1C7F"/>
    <w:rsid w:val="005C391F"/>
    <w:rsid w:val="005C490A"/>
    <w:rsid w:val="005C5EC7"/>
    <w:rsid w:val="005C6395"/>
    <w:rsid w:val="005D01AF"/>
    <w:rsid w:val="005D24D6"/>
    <w:rsid w:val="005D2B1C"/>
    <w:rsid w:val="005D48DA"/>
    <w:rsid w:val="005D6F5F"/>
    <w:rsid w:val="005D70A1"/>
    <w:rsid w:val="005E2972"/>
    <w:rsid w:val="005E3397"/>
    <w:rsid w:val="005E5A50"/>
    <w:rsid w:val="005E7632"/>
    <w:rsid w:val="005E7C7E"/>
    <w:rsid w:val="005F0DB7"/>
    <w:rsid w:val="005F436D"/>
    <w:rsid w:val="005F4683"/>
    <w:rsid w:val="005F6AB1"/>
    <w:rsid w:val="00600206"/>
    <w:rsid w:val="00600250"/>
    <w:rsid w:val="0060179A"/>
    <w:rsid w:val="0060231E"/>
    <w:rsid w:val="00604466"/>
    <w:rsid w:val="00615E12"/>
    <w:rsid w:val="006226E2"/>
    <w:rsid w:val="00622AB1"/>
    <w:rsid w:val="00622AC1"/>
    <w:rsid w:val="00627A23"/>
    <w:rsid w:val="00630096"/>
    <w:rsid w:val="00630319"/>
    <w:rsid w:val="00635161"/>
    <w:rsid w:val="00635566"/>
    <w:rsid w:val="00637B7F"/>
    <w:rsid w:val="00640B3E"/>
    <w:rsid w:val="006418BF"/>
    <w:rsid w:val="00645851"/>
    <w:rsid w:val="00645A91"/>
    <w:rsid w:val="00646627"/>
    <w:rsid w:val="00646A2D"/>
    <w:rsid w:val="00646A54"/>
    <w:rsid w:val="00647D33"/>
    <w:rsid w:val="006503D2"/>
    <w:rsid w:val="00650CD7"/>
    <w:rsid w:val="00651B73"/>
    <w:rsid w:val="006520E0"/>
    <w:rsid w:val="00655667"/>
    <w:rsid w:val="00656A2F"/>
    <w:rsid w:val="00656D92"/>
    <w:rsid w:val="00656F41"/>
    <w:rsid w:val="006579CE"/>
    <w:rsid w:val="00664B5A"/>
    <w:rsid w:val="00664DF8"/>
    <w:rsid w:val="006655C5"/>
    <w:rsid w:val="006668EE"/>
    <w:rsid w:val="00666A1D"/>
    <w:rsid w:val="00667671"/>
    <w:rsid w:val="00673786"/>
    <w:rsid w:val="00673BCD"/>
    <w:rsid w:val="00693E23"/>
    <w:rsid w:val="00694364"/>
    <w:rsid w:val="00696168"/>
    <w:rsid w:val="00697579"/>
    <w:rsid w:val="006A252A"/>
    <w:rsid w:val="006A27BF"/>
    <w:rsid w:val="006A2AA3"/>
    <w:rsid w:val="006A3CB4"/>
    <w:rsid w:val="006A5025"/>
    <w:rsid w:val="006B0C31"/>
    <w:rsid w:val="006B18AB"/>
    <w:rsid w:val="006B3055"/>
    <w:rsid w:val="006B4E4B"/>
    <w:rsid w:val="006B51BF"/>
    <w:rsid w:val="006B553D"/>
    <w:rsid w:val="006B605A"/>
    <w:rsid w:val="006B6E1E"/>
    <w:rsid w:val="006C27CD"/>
    <w:rsid w:val="006C3FB0"/>
    <w:rsid w:val="006C4875"/>
    <w:rsid w:val="006C7BA9"/>
    <w:rsid w:val="006D0394"/>
    <w:rsid w:val="006D1985"/>
    <w:rsid w:val="006D2A76"/>
    <w:rsid w:val="006D701D"/>
    <w:rsid w:val="006E15E8"/>
    <w:rsid w:val="006F18A5"/>
    <w:rsid w:val="006F1D96"/>
    <w:rsid w:val="006F3600"/>
    <w:rsid w:val="006F4613"/>
    <w:rsid w:val="006F464C"/>
    <w:rsid w:val="006F4777"/>
    <w:rsid w:val="006F521C"/>
    <w:rsid w:val="006F55E7"/>
    <w:rsid w:val="006F598B"/>
    <w:rsid w:val="006F70AC"/>
    <w:rsid w:val="00701AB4"/>
    <w:rsid w:val="0070200C"/>
    <w:rsid w:val="00703B49"/>
    <w:rsid w:val="00705C83"/>
    <w:rsid w:val="00710113"/>
    <w:rsid w:val="00710808"/>
    <w:rsid w:val="00711A92"/>
    <w:rsid w:val="00713518"/>
    <w:rsid w:val="00713871"/>
    <w:rsid w:val="007145E3"/>
    <w:rsid w:val="0071796D"/>
    <w:rsid w:val="00717B3B"/>
    <w:rsid w:val="007207A8"/>
    <w:rsid w:val="00720F91"/>
    <w:rsid w:val="007217C7"/>
    <w:rsid w:val="00722F49"/>
    <w:rsid w:val="0072411D"/>
    <w:rsid w:val="00724A66"/>
    <w:rsid w:val="00725847"/>
    <w:rsid w:val="007258AA"/>
    <w:rsid w:val="00733193"/>
    <w:rsid w:val="00733EAF"/>
    <w:rsid w:val="007356BF"/>
    <w:rsid w:val="00735952"/>
    <w:rsid w:val="0073595D"/>
    <w:rsid w:val="00735C25"/>
    <w:rsid w:val="007406B8"/>
    <w:rsid w:val="00740811"/>
    <w:rsid w:val="007410C7"/>
    <w:rsid w:val="0074164F"/>
    <w:rsid w:val="007439C3"/>
    <w:rsid w:val="00744B89"/>
    <w:rsid w:val="0074749D"/>
    <w:rsid w:val="00747878"/>
    <w:rsid w:val="00753411"/>
    <w:rsid w:val="007546C7"/>
    <w:rsid w:val="00754748"/>
    <w:rsid w:val="0075517D"/>
    <w:rsid w:val="00757E22"/>
    <w:rsid w:val="007634AD"/>
    <w:rsid w:val="007639A4"/>
    <w:rsid w:val="00765106"/>
    <w:rsid w:val="00765533"/>
    <w:rsid w:val="00766E2F"/>
    <w:rsid w:val="00770714"/>
    <w:rsid w:val="0077131A"/>
    <w:rsid w:val="0077384A"/>
    <w:rsid w:val="0077452A"/>
    <w:rsid w:val="007816BC"/>
    <w:rsid w:val="00784DCF"/>
    <w:rsid w:val="00785554"/>
    <w:rsid w:val="00785E68"/>
    <w:rsid w:val="007914A5"/>
    <w:rsid w:val="007931B7"/>
    <w:rsid w:val="00793B56"/>
    <w:rsid w:val="00794149"/>
    <w:rsid w:val="00794256"/>
    <w:rsid w:val="00796197"/>
    <w:rsid w:val="007A07CF"/>
    <w:rsid w:val="007A08CA"/>
    <w:rsid w:val="007A2CB1"/>
    <w:rsid w:val="007A459E"/>
    <w:rsid w:val="007B0378"/>
    <w:rsid w:val="007B08A8"/>
    <w:rsid w:val="007B1421"/>
    <w:rsid w:val="007B48B2"/>
    <w:rsid w:val="007B5901"/>
    <w:rsid w:val="007B670D"/>
    <w:rsid w:val="007B74A0"/>
    <w:rsid w:val="007C0597"/>
    <w:rsid w:val="007C21CB"/>
    <w:rsid w:val="007C3401"/>
    <w:rsid w:val="007C358E"/>
    <w:rsid w:val="007C3739"/>
    <w:rsid w:val="007C3E21"/>
    <w:rsid w:val="007C45F8"/>
    <w:rsid w:val="007C499F"/>
    <w:rsid w:val="007C57FF"/>
    <w:rsid w:val="007D02FE"/>
    <w:rsid w:val="007D289C"/>
    <w:rsid w:val="007D7154"/>
    <w:rsid w:val="007D7B31"/>
    <w:rsid w:val="007E09D9"/>
    <w:rsid w:val="007E2E5E"/>
    <w:rsid w:val="007E5BB9"/>
    <w:rsid w:val="007F0A83"/>
    <w:rsid w:val="007F121C"/>
    <w:rsid w:val="007F1B65"/>
    <w:rsid w:val="007F1C0F"/>
    <w:rsid w:val="007F2FD0"/>
    <w:rsid w:val="007F376A"/>
    <w:rsid w:val="007F607E"/>
    <w:rsid w:val="008001B5"/>
    <w:rsid w:val="0080065F"/>
    <w:rsid w:val="00801CFD"/>
    <w:rsid w:val="00806200"/>
    <w:rsid w:val="00810F93"/>
    <w:rsid w:val="008111DF"/>
    <w:rsid w:val="00814231"/>
    <w:rsid w:val="008166AC"/>
    <w:rsid w:val="008173AA"/>
    <w:rsid w:val="00817C02"/>
    <w:rsid w:val="0082240D"/>
    <w:rsid w:val="00823348"/>
    <w:rsid w:val="008301DA"/>
    <w:rsid w:val="00831542"/>
    <w:rsid w:val="00831916"/>
    <w:rsid w:val="00833C78"/>
    <w:rsid w:val="00834A2D"/>
    <w:rsid w:val="008362C8"/>
    <w:rsid w:val="00836E9B"/>
    <w:rsid w:val="008373B7"/>
    <w:rsid w:val="00842EE6"/>
    <w:rsid w:val="00843B0F"/>
    <w:rsid w:val="008450F2"/>
    <w:rsid w:val="00845DA8"/>
    <w:rsid w:val="00846319"/>
    <w:rsid w:val="008514C8"/>
    <w:rsid w:val="0085193D"/>
    <w:rsid w:val="00853519"/>
    <w:rsid w:val="008547B4"/>
    <w:rsid w:val="008550CA"/>
    <w:rsid w:val="00856684"/>
    <w:rsid w:val="00857651"/>
    <w:rsid w:val="00857D52"/>
    <w:rsid w:val="00860C29"/>
    <w:rsid w:val="00862D56"/>
    <w:rsid w:val="00864BD5"/>
    <w:rsid w:val="00867033"/>
    <w:rsid w:val="00871A4F"/>
    <w:rsid w:val="0087210B"/>
    <w:rsid w:val="00874645"/>
    <w:rsid w:val="00877B24"/>
    <w:rsid w:val="0088024F"/>
    <w:rsid w:val="00880AEF"/>
    <w:rsid w:val="00882892"/>
    <w:rsid w:val="0088588F"/>
    <w:rsid w:val="0088598F"/>
    <w:rsid w:val="00891228"/>
    <w:rsid w:val="0089232F"/>
    <w:rsid w:val="00895B05"/>
    <w:rsid w:val="00895EEA"/>
    <w:rsid w:val="00895F47"/>
    <w:rsid w:val="00897D81"/>
    <w:rsid w:val="008A0594"/>
    <w:rsid w:val="008A15D3"/>
    <w:rsid w:val="008A195D"/>
    <w:rsid w:val="008A258A"/>
    <w:rsid w:val="008A43B8"/>
    <w:rsid w:val="008A5299"/>
    <w:rsid w:val="008A79D8"/>
    <w:rsid w:val="008A7CFC"/>
    <w:rsid w:val="008B0D29"/>
    <w:rsid w:val="008B164A"/>
    <w:rsid w:val="008B16DF"/>
    <w:rsid w:val="008B170D"/>
    <w:rsid w:val="008B56B7"/>
    <w:rsid w:val="008C02C9"/>
    <w:rsid w:val="008C39BE"/>
    <w:rsid w:val="008C5C9D"/>
    <w:rsid w:val="008C755F"/>
    <w:rsid w:val="008C76FA"/>
    <w:rsid w:val="008D1990"/>
    <w:rsid w:val="008D1D49"/>
    <w:rsid w:val="008D3ABA"/>
    <w:rsid w:val="008D3B6C"/>
    <w:rsid w:val="008D652B"/>
    <w:rsid w:val="008D7DF3"/>
    <w:rsid w:val="008E2F6F"/>
    <w:rsid w:val="008E5266"/>
    <w:rsid w:val="008E5F0C"/>
    <w:rsid w:val="008F0DE1"/>
    <w:rsid w:val="008F44D8"/>
    <w:rsid w:val="008F4604"/>
    <w:rsid w:val="00902168"/>
    <w:rsid w:val="00905077"/>
    <w:rsid w:val="00907D20"/>
    <w:rsid w:val="00911668"/>
    <w:rsid w:val="00911EA4"/>
    <w:rsid w:val="0091267B"/>
    <w:rsid w:val="009131BC"/>
    <w:rsid w:val="00913A7F"/>
    <w:rsid w:val="00915575"/>
    <w:rsid w:val="009227BE"/>
    <w:rsid w:val="00923B3A"/>
    <w:rsid w:val="00923DC7"/>
    <w:rsid w:val="00925A87"/>
    <w:rsid w:val="00931193"/>
    <w:rsid w:val="00931F02"/>
    <w:rsid w:val="00932AAD"/>
    <w:rsid w:val="0093320F"/>
    <w:rsid w:val="00934735"/>
    <w:rsid w:val="00934DF6"/>
    <w:rsid w:val="00935CCB"/>
    <w:rsid w:val="00937C75"/>
    <w:rsid w:val="00940064"/>
    <w:rsid w:val="00940CB9"/>
    <w:rsid w:val="00942F37"/>
    <w:rsid w:val="0094301A"/>
    <w:rsid w:val="0094654E"/>
    <w:rsid w:val="009466CA"/>
    <w:rsid w:val="00947D31"/>
    <w:rsid w:val="00950C91"/>
    <w:rsid w:val="009526A3"/>
    <w:rsid w:val="00952B76"/>
    <w:rsid w:val="00954452"/>
    <w:rsid w:val="009616A3"/>
    <w:rsid w:val="00961AAB"/>
    <w:rsid w:val="009670B4"/>
    <w:rsid w:val="00967A2B"/>
    <w:rsid w:val="00970A44"/>
    <w:rsid w:val="00971946"/>
    <w:rsid w:val="00972585"/>
    <w:rsid w:val="009729B9"/>
    <w:rsid w:val="009736E9"/>
    <w:rsid w:val="00976BB1"/>
    <w:rsid w:val="0098051C"/>
    <w:rsid w:val="00981D25"/>
    <w:rsid w:val="0098269A"/>
    <w:rsid w:val="00982943"/>
    <w:rsid w:val="0098333A"/>
    <w:rsid w:val="009866CF"/>
    <w:rsid w:val="00992CD1"/>
    <w:rsid w:val="00994D0B"/>
    <w:rsid w:val="00996AE1"/>
    <w:rsid w:val="0099734D"/>
    <w:rsid w:val="00997FAF"/>
    <w:rsid w:val="009A05E6"/>
    <w:rsid w:val="009A55D4"/>
    <w:rsid w:val="009A6B8E"/>
    <w:rsid w:val="009A7B7D"/>
    <w:rsid w:val="009B1DAB"/>
    <w:rsid w:val="009C0579"/>
    <w:rsid w:val="009C739B"/>
    <w:rsid w:val="009C7A2D"/>
    <w:rsid w:val="009D369C"/>
    <w:rsid w:val="009D433E"/>
    <w:rsid w:val="009D5FE3"/>
    <w:rsid w:val="009D6A16"/>
    <w:rsid w:val="009D708D"/>
    <w:rsid w:val="009D75D8"/>
    <w:rsid w:val="009D7E84"/>
    <w:rsid w:val="009E0659"/>
    <w:rsid w:val="009E2CF4"/>
    <w:rsid w:val="009E4256"/>
    <w:rsid w:val="009E671D"/>
    <w:rsid w:val="009E744F"/>
    <w:rsid w:val="009E7CE3"/>
    <w:rsid w:val="009F2CA9"/>
    <w:rsid w:val="009F2DA7"/>
    <w:rsid w:val="009F3374"/>
    <w:rsid w:val="009F37B8"/>
    <w:rsid w:val="009F503E"/>
    <w:rsid w:val="009F6761"/>
    <w:rsid w:val="009F6E36"/>
    <w:rsid w:val="009F728D"/>
    <w:rsid w:val="009F739C"/>
    <w:rsid w:val="00A042D9"/>
    <w:rsid w:val="00A0720B"/>
    <w:rsid w:val="00A072E9"/>
    <w:rsid w:val="00A073AC"/>
    <w:rsid w:val="00A07AA8"/>
    <w:rsid w:val="00A10C5F"/>
    <w:rsid w:val="00A15D20"/>
    <w:rsid w:val="00A16511"/>
    <w:rsid w:val="00A165B1"/>
    <w:rsid w:val="00A173FE"/>
    <w:rsid w:val="00A1747C"/>
    <w:rsid w:val="00A17EA8"/>
    <w:rsid w:val="00A2057D"/>
    <w:rsid w:val="00A21594"/>
    <w:rsid w:val="00A21B8D"/>
    <w:rsid w:val="00A222E3"/>
    <w:rsid w:val="00A22B5D"/>
    <w:rsid w:val="00A23C93"/>
    <w:rsid w:val="00A27EBA"/>
    <w:rsid w:val="00A301C4"/>
    <w:rsid w:val="00A3075A"/>
    <w:rsid w:val="00A31BC8"/>
    <w:rsid w:val="00A3221A"/>
    <w:rsid w:val="00A32297"/>
    <w:rsid w:val="00A33204"/>
    <w:rsid w:val="00A33A08"/>
    <w:rsid w:val="00A35818"/>
    <w:rsid w:val="00A3606B"/>
    <w:rsid w:val="00A3799C"/>
    <w:rsid w:val="00A407E8"/>
    <w:rsid w:val="00A41607"/>
    <w:rsid w:val="00A42128"/>
    <w:rsid w:val="00A42D3D"/>
    <w:rsid w:val="00A4591D"/>
    <w:rsid w:val="00A45D29"/>
    <w:rsid w:val="00A50888"/>
    <w:rsid w:val="00A50D2C"/>
    <w:rsid w:val="00A50EBC"/>
    <w:rsid w:val="00A511F3"/>
    <w:rsid w:val="00A515D8"/>
    <w:rsid w:val="00A524AE"/>
    <w:rsid w:val="00A525EA"/>
    <w:rsid w:val="00A5335B"/>
    <w:rsid w:val="00A53FAD"/>
    <w:rsid w:val="00A54D62"/>
    <w:rsid w:val="00A567F9"/>
    <w:rsid w:val="00A56F37"/>
    <w:rsid w:val="00A610DA"/>
    <w:rsid w:val="00A63B5C"/>
    <w:rsid w:val="00A640E3"/>
    <w:rsid w:val="00A644EC"/>
    <w:rsid w:val="00A67731"/>
    <w:rsid w:val="00A70410"/>
    <w:rsid w:val="00A750EC"/>
    <w:rsid w:val="00A75295"/>
    <w:rsid w:val="00A75B02"/>
    <w:rsid w:val="00A7685C"/>
    <w:rsid w:val="00A772CB"/>
    <w:rsid w:val="00A80101"/>
    <w:rsid w:val="00A804D3"/>
    <w:rsid w:val="00A8104F"/>
    <w:rsid w:val="00A84CEB"/>
    <w:rsid w:val="00A9015B"/>
    <w:rsid w:val="00A90CB8"/>
    <w:rsid w:val="00A91DE6"/>
    <w:rsid w:val="00A92197"/>
    <w:rsid w:val="00A95F2A"/>
    <w:rsid w:val="00A96167"/>
    <w:rsid w:val="00AA0C2B"/>
    <w:rsid w:val="00AA0F0C"/>
    <w:rsid w:val="00AA25E6"/>
    <w:rsid w:val="00AA26DA"/>
    <w:rsid w:val="00AA2FFC"/>
    <w:rsid w:val="00AA7322"/>
    <w:rsid w:val="00AB0671"/>
    <w:rsid w:val="00AB1305"/>
    <w:rsid w:val="00AB4055"/>
    <w:rsid w:val="00AB4764"/>
    <w:rsid w:val="00AB6F3B"/>
    <w:rsid w:val="00AC0921"/>
    <w:rsid w:val="00AC0935"/>
    <w:rsid w:val="00AC218A"/>
    <w:rsid w:val="00AC30FA"/>
    <w:rsid w:val="00AC3A1B"/>
    <w:rsid w:val="00AC7C66"/>
    <w:rsid w:val="00AD011B"/>
    <w:rsid w:val="00AD54AC"/>
    <w:rsid w:val="00AD663F"/>
    <w:rsid w:val="00AD6F9A"/>
    <w:rsid w:val="00AE0176"/>
    <w:rsid w:val="00AE1374"/>
    <w:rsid w:val="00AE1C11"/>
    <w:rsid w:val="00AE220E"/>
    <w:rsid w:val="00AE2D93"/>
    <w:rsid w:val="00AE3392"/>
    <w:rsid w:val="00AE33AC"/>
    <w:rsid w:val="00AE3E8F"/>
    <w:rsid w:val="00AF085D"/>
    <w:rsid w:val="00AF4723"/>
    <w:rsid w:val="00AF63F4"/>
    <w:rsid w:val="00AF6C21"/>
    <w:rsid w:val="00B00726"/>
    <w:rsid w:val="00B03914"/>
    <w:rsid w:val="00B063A6"/>
    <w:rsid w:val="00B06A21"/>
    <w:rsid w:val="00B07210"/>
    <w:rsid w:val="00B07F1A"/>
    <w:rsid w:val="00B106BC"/>
    <w:rsid w:val="00B12280"/>
    <w:rsid w:val="00B137BE"/>
    <w:rsid w:val="00B152F8"/>
    <w:rsid w:val="00B22223"/>
    <w:rsid w:val="00B25553"/>
    <w:rsid w:val="00B264C2"/>
    <w:rsid w:val="00B269BA"/>
    <w:rsid w:val="00B333A0"/>
    <w:rsid w:val="00B378E2"/>
    <w:rsid w:val="00B37C95"/>
    <w:rsid w:val="00B4009E"/>
    <w:rsid w:val="00B40D82"/>
    <w:rsid w:val="00B416A4"/>
    <w:rsid w:val="00B41B2B"/>
    <w:rsid w:val="00B41C90"/>
    <w:rsid w:val="00B432B9"/>
    <w:rsid w:val="00B456B3"/>
    <w:rsid w:val="00B47FA2"/>
    <w:rsid w:val="00B544A2"/>
    <w:rsid w:val="00B5537D"/>
    <w:rsid w:val="00B55B6F"/>
    <w:rsid w:val="00B57BE3"/>
    <w:rsid w:val="00B61282"/>
    <w:rsid w:val="00B61CF5"/>
    <w:rsid w:val="00B61DA1"/>
    <w:rsid w:val="00B62D58"/>
    <w:rsid w:val="00B671BD"/>
    <w:rsid w:val="00B67513"/>
    <w:rsid w:val="00B67CAF"/>
    <w:rsid w:val="00B70CFB"/>
    <w:rsid w:val="00B71617"/>
    <w:rsid w:val="00B73E1D"/>
    <w:rsid w:val="00B75F96"/>
    <w:rsid w:val="00B77C42"/>
    <w:rsid w:val="00B80CC2"/>
    <w:rsid w:val="00B8160A"/>
    <w:rsid w:val="00B83E52"/>
    <w:rsid w:val="00B853EB"/>
    <w:rsid w:val="00B8586E"/>
    <w:rsid w:val="00B85C86"/>
    <w:rsid w:val="00B86099"/>
    <w:rsid w:val="00B87504"/>
    <w:rsid w:val="00B87861"/>
    <w:rsid w:val="00B90739"/>
    <w:rsid w:val="00B90E57"/>
    <w:rsid w:val="00B91721"/>
    <w:rsid w:val="00B91E99"/>
    <w:rsid w:val="00B947AE"/>
    <w:rsid w:val="00BA26CE"/>
    <w:rsid w:val="00BA4608"/>
    <w:rsid w:val="00BA47FF"/>
    <w:rsid w:val="00BA4960"/>
    <w:rsid w:val="00BA4F5E"/>
    <w:rsid w:val="00BA6DF1"/>
    <w:rsid w:val="00BA76B5"/>
    <w:rsid w:val="00BB102B"/>
    <w:rsid w:val="00BB1CC7"/>
    <w:rsid w:val="00BB1FF5"/>
    <w:rsid w:val="00BB291F"/>
    <w:rsid w:val="00BB66EE"/>
    <w:rsid w:val="00BB6CD8"/>
    <w:rsid w:val="00BC0497"/>
    <w:rsid w:val="00BC2681"/>
    <w:rsid w:val="00BC38BE"/>
    <w:rsid w:val="00BC39D3"/>
    <w:rsid w:val="00BC6C09"/>
    <w:rsid w:val="00BD0180"/>
    <w:rsid w:val="00BD2C38"/>
    <w:rsid w:val="00BD31FD"/>
    <w:rsid w:val="00BD365E"/>
    <w:rsid w:val="00BD4031"/>
    <w:rsid w:val="00BD6E66"/>
    <w:rsid w:val="00BD7566"/>
    <w:rsid w:val="00BE32B6"/>
    <w:rsid w:val="00BE37FC"/>
    <w:rsid w:val="00BE40A4"/>
    <w:rsid w:val="00BE4972"/>
    <w:rsid w:val="00BE5883"/>
    <w:rsid w:val="00BE7388"/>
    <w:rsid w:val="00BF06A7"/>
    <w:rsid w:val="00BF0920"/>
    <w:rsid w:val="00BF112B"/>
    <w:rsid w:val="00BF14A5"/>
    <w:rsid w:val="00BF301D"/>
    <w:rsid w:val="00BF4C42"/>
    <w:rsid w:val="00BF6D95"/>
    <w:rsid w:val="00C00D6E"/>
    <w:rsid w:val="00C01A56"/>
    <w:rsid w:val="00C0229F"/>
    <w:rsid w:val="00C03424"/>
    <w:rsid w:val="00C035FD"/>
    <w:rsid w:val="00C04223"/>
    <w:rsid w:val="00C06B5B"/>
    <w:rsid w:val="00C0764D"/>
    <w:rsid w:val="00C077AE"/>
    <w:rsid w:val="00C10A55"/>
    <w:rsid w:val="00C1101F"/>
    <w:rsid w:val="00C1132D"/>
    <w:rsid w:val="00C11359"/>
    <w:rsid w:val="00C11D52"/>
    <w:rsid w:val="00C12A4B"/>
    <w:rsid w:val="00C14238"/>
    <w:rsid w:val="00C144E0"/>
    <w:rsid w:val="00C1581F"/>
    <w:rsid w:val="00C1599E"/>
    <w:rsid w:val="00C16FB4"/>
    <w:rsid w:val="00C17733"/>
    <w:rsid w:val="00C22BA4"/>
    <w:rsid w:val="00C27575"/>
    <w:rsid w:val="00C277CF"/>
    <w:rsid w:val="00C31A07"/>
    <w:rsid w:val="00C31CC1"/>
    <w:rsid w:val="00C32AC5"/>
    <w:rsid w:val="00C32B93"/>
    <w:rsid w:val="00C33829"/>
    <w:rsid w:val="00C33E70"/>
    <w:rsid w:val="00C36242"/>
    <w:rsid w:val="00C410F6"/>
    <w:rsid w:val="00C41E72"/>
    <w:rsid w:val="00C424E1"/>
    <w:rsid w:val="00C43B7D"/>
    <w:rsid w:val="00C43BC8"/>
    <w:rsid w:val="00C44391"/>
    <w:rsid w:val="00C44D49"/>
    <w:rsid w:val="00C456D3"/>
    <w:rsid w:val="00C46C17"/>
    <w:rsid w:val="00C51BDC"/>
    <w:rsid w:val="00C52426"/>
    <w:rsid w:val="00C52CE2"/>
    <w:rsid w:val="00C531AE"/>
    <w:rsid w:val="00C54095"/>
    <w:rsid w:val="00C55FDC"/>
    <w:rsid w:val="00C5622B"/>
    <w:rsid w:val="00C566FE"/>
    <w:rsid w:val="00C62540"/>
    <w:rsid w:val="00C72703"/>
    <w:rsid w:val="00C740BB"/>
    <w:rsid w:val="00C7415F"/>
    <w:rsid w:val="00C747D7"/>
    <w:rsid w:val="00C74A39"/>
    <w:rsid w:val="00C750CB"/>
    <w:rsid w:val="00C75AD7"/>
    <w:rsid w:val="00C80CD9"/>
    <w:rsid w:val="00C820C2"/>
    <w:rsid w:val="00C83B32"/>
    <w:rsid w:val="00C845BA"/>
    <w:rsid w:val="00C84EFD"/>
    <w:rsid w:val="00C901BD"/>
    <w:rsid w:val="00C90970"/>
    <w:rsid w:val="00C911D8"/>
    <w:rsid w:val="00C91D22"/>
    <w:rsid w:val="00C94740"/>
    <w:rsid w:val="00C9502C"/>
    <w:rsid w:val="00C950F4"/>
    <w:rsid w:val="00C95914"/>
    <w:rsid w:val="00C97A25"/>
    <w:rsid w:val="00CA06AA"/>
    <w:rsid w:val="00CA0B79"/>
    <w:rsid w:val="00CA3441"/>
    <w:rsid w:val="00CA3B38"/>
    <w:rsid w:val="00CA4533"/>
    <w:rsid w:val="00CA7C78"/>
    <w:rsid w:val="00CB160C"/>
    <w:rsid w:val="00CB2D57"/>
    <w:rsid w:val="00CB6727"/>
    <w:rsid w:val="00CB7449"/>
    <w:rsid w:val="00CC00C8"/>
    <w:rsid w:val="00CC05C6"/>
    <w:rsid w:val="00CC3158"/>
    <w:rsid w:val="00CC7F3A"/>
    <w:rsid w:val="00CD603A"/>
    <w:rsid w:val="00CD6ECB"/>
    <w:rsid w:val="00CE013A"/>
    <w:rsid w:val="00CE2115"/>
    <w:rsid w:val="00CE2FBC"/>
    <w:rsid w:val="00CE309B"/>
    <w:rsid w:val="00CE392C"/>
    <w:rsid w:val="00CE799A"/>
    <w:rsid w:val="00CF1272"/>
    <w:rsid w:val="00CF2010"/>
    <w:rsid w:val="00CF2FEC"/>
    <w:rsid w:val="00CF3582"/>
    <w:rsid w:val="00CF52E0"/>
    <w:rsid w:val="00CF7791"/>
    <w:rsid w:val="00CF7E09"/>
    <w:rsid w:val="00D003C4"/>
    <w:rsid w:val="00D05551"/>
    <w:rsid w:val="00D109C3"/>
    <w:rsid w:val="00D1712E"/>
    <w:rsid w:val="00D17B85"/>
    <w:rsid w:val="00D21C77"/>
    <w:rsid w:val="00D238F5"/>
    <w:rsid w:val="00D243DA"/>
    <w:rsid w:val="00D24BA4"/>
    <w:rsid w:val="00D24C64"/>
    <w:rsid w:val="00D260EC"/>
    <w:rsid w:val="00D30BD6"/>
    <w:rsid w:val="00D320DC"/>
    <w:rsid w:val="00D33F06"/>
    <w:rsid w:val="00D343A6"/>
    <w:rsid w:val="00D3515B"/>
    <w:rsid w:val="00D3536F"/>
    <w:rsid w:val="00D35883"/>
    <w:rsid w:val="00D4113D"/>
    <w:rsid w:val="00D42513"/>
    <w:rsid w:val="00D439E5"/>
    <w:rsid w:val="00D43CFA"/>
    <w:rsid w:val="00D44C9D"/>
    <w:rsid w:val="00D45506"/>
    <w:rsid w:val="00D541DB"/>
    <w:rsid w:val="00D5590B"/>
    <w:rsid w:val="00D616E5"/>
    <w:rsid w:val="00D6279A"/>
    <w:rsid w:val="00D665FD"/>
    <w:rsid w:val="00D67079"/>
    <w:rsid w:val="00D678EF"/>
    <w:rsid w:val="00D7142F"/>
    <w:rsid w:val="00D73396"/>
    <w:rsid w:val="00D7505A"/>
    <w:rsid w:val="00D77942"/>
    <w:rsid w:val="00D82851"/>
    <w:rsid w:val="00D82919"/>
    <w:rsid w:val="00D83F28"/>
    <w:rsid w:val="00D84425"/>
    <w:rsid w:val="00D8584D"/>
    <w:rsid w:val="00D91261"/>
    <w:rsid w:val="00D92BD0"/>
    <w:rsid w:val="00D95264"/>
    <w:rsid w:val="00D96024"/>
    <w:rsid w:val="00DA0ECF"/>
    <w:rsid w:val="00DA3870"/>
    <w:rsid w:val="00DA4489"/>
    <w:rsid w:val="00DA6773"/>
    <w:rsid w:val="00DA6AC4"/>
    <w:rsid w:val="00DB027D"/>
    <w:rsid w:val="00DB17BE"/>
    <w:rsid w:val="00DB235F"/>
    <w:rsid w:val="00DB2F92"/>
    <w:rsid w:val="00DB352C"/>
    <w:rsid w:val="00DB364D"/>
    <w:rsid w:val="00DB4882"/>
    <w:rsid w:val="00DB7082"/>
    <w:rsid w:val="00DC1594"/>
    <w:rsid w:val="00DC2A59"/>
    <w:rsid w:val="00DC2AE4"/>
    <w:rsid w:val="00DC2D3E"/>
    <w:rsid w:val="00DC389A"/>
    <w:rsid w:val="00DC3CD1"/>
    <w:rsid w:val="00DC716F"/>
    <w:rsid w:val="00DD017B"/>
    <w:rsid w:val="00DD0473"/>
    <w:rsid w:val="00DD1C95"/>
    <w:rsid w:val="00DD2EFF"/>
    <w:rsid w:val="00DD36B8"/>
    <w:rsid w:val="00DD38E2"/>
    <w:rsid w:val="00DD6927"/>
    <w:rsid w:val="00DD7D64"/>
    <w:rsid w:val="00DE4C7B"/>
    <w:rsid w:val="00DE540F"/>
    <w:rsid w:val="00DE596C"/>
    <w:rsid w:val="00DE5D54"/>
    <w:rsid w:val="00DE64A9"/>
    <w:rsid w:val="00DE756D"/>
    <w:rsid w:val="00DE7D5C"/>
    <w:rsid w:val="00DF07FE"/>
    <w:rsid w:val="00DF0CD5"/>
    <w:rsid w:val="00DF153F"/>
    <w:rsid w:val="00DF1695"/>
    <w:rsid w:val="00DF2B59"/>
    <w:rsid w:val="00DF319C"/>
    <w:rsid w:val="00DF4057"/>
    <w:rsid w:val="00DF6568"/>
    <w:rsid w:val="00DF68C3"/>
    <w:rsid w:val="00E00A9A"/>
    <w:rsid w:val="00E01442"/>
    <w:rsid w:val="00E026BB"/>
    <w:rsid w:val="00E03EA5"/>
    <w:rsid w:val="00E05020"/>
    <w:rsid w:val="00E052DB"/>
    <w:rsid w:val="00E0559C"/>
    <w:rsid w:val="00E05868"/>
    <w:rsid w:val="00E05D92"/>
    <w:rsid w:val="00E067F6"/>
    <w:rsid w:val="00E073F4"/>
    <w:rsid w:val="00E0781A"/>
    <w:rsid w:val="00E1004B"/>
    <w:rsid w:val="00E118CF"/>
    <w:rsid w:val="00E1327A"/>
    <w:rsid w:val="00E13C48"/>
    <w:rsid w:val="00E15976"/>
    <w:rsid w:val="00E15FFD"/>
    <w:rsid w:val="00E20CC0"/>
    <w:rsid w:val="00E21A90"/>
    <w:rsid w:val="00E226A4"/>
    <w:rsid w:val="00E24848"/>
    <w:rsid w:val="00E26E4A"/>
    <w:rsid w:val="00E27030"/>
    <w:rsid w:val="00E27EE4"/>
    <w:rsid w:val="00E30E3F"/>
    <w:rsid w:val="00E3167D"/>
    <w:rsid w:val="00E34C65"/>
    <w:rsid w:val="00E3512C"/>
    <w:rsid w:val="00E4391B"/>
    <w:rsid w:val="00E44234"/>
    <w:rsid w:val="00E4455D"/>
    <w:rsid w:val="00E46979"/>
    <w:rsid w:val="00E50CD3"/>
    <w:rsid w:val="00E52A55"/>
    <w:rsid w:val="00E52CE0"/>
    <w:rsid w:val="00E54D97"/>
    <w:rsid w:val="00E61594"/>
    <w:rsid w:val="00E63449"/>
    <w:rsid w:val="00E65FF3"/>
    <w:rsid w:val="00E66CAA"/>
    <w:rsid w:val="00E67E04"/>
    <w:rsid w:val="00E67EA7"/>
    <w:rsid w:val="00E71A0D"/>
    <w:rsid w:val="00E73CBE"/>
    <w:rsid w:val="00E746BC"/>
    <w:rsid w:val="00E80FF2"/>
    <w:rsid w:val="00E81F44"/>
    <w:rsid w:val="00E8447B"/>
    <w:rsid w:val="00E84629"/>
    <w:rsid w:val="00E85F1D"/>
    <w:rsid w:val="00E91669"/>
    <w:rsid w:val="00E918A1"/>
    <w:rsid w:val="00E91970"/>
    <w:rsid w:val="00E948E4"/>
    <w:rsid w:val="00EA0A10"/>
    <w:rsid w:val="00EB020F"/>
    <w:rsid w:val="00EB0E96"/>
    <w:rsid w:val="00EB2988"/>
    <w:rsid w:val="00EB3D83"/>
    <w:rsid w:val="00EC1082"/>
    <w:rsid w:val="00EC29D7"/>
    <w:rsid w:val="00EC375A"/>
    <w:rsid w:val="00EC5DD6"/>
    <w:rsid w:val="00EC61C2"/>
    <w:rsid w:val="00ED07C3"/>
    <w:rsid w:val="00ED1641"/>
    <w:rsid w:val="00ED1B99"/>
    <w:rsid w:val="00ED1CCF"/>
    <w:rsid w:val="00ED4AC4"/>
    <w:rsid w:val="00EE007A"/>
    <w:rsid w:val="00EE15AD"/>
    <w:rsid w:val="00EE2222"/>
    <w:rsid w:val="00EE2CC6"/>
    <w:rsid w:val="00EE4BAA"/>
    <w:rsid w:val="00EE5D2B"/>
    <w:rsid w:val="00EE5DF8"/>
    <w:rsid w:val="00EE731B"/>
    <w:rsid w:val="00EE7A84"/>
    <w:rsid w:val="00EF0775"/>
    <w:rsid w:val="00EF1A8D"/>
    <w:rsid w:val="00EF1BEA"/>
    <w:rsid w:val="00EF355B"/>
    <w:rsid w:val="00EF69E8"/>
    <w:rsid w:val="00F0113F"/>
    <w:rsid w:val="00F01985"/>
    <w:rsid w:val="00F051C1"/>
    <w:rsid w:val="00F0587B"/>
    <w:rsid w:val="00F05944"/>
    <w:rsid w:val="00F1720B"/>
    <w:rsid w:val="00F204C0"/>
    <w:rsid w:val="00F2122A"/>
    <w:rsid w:val="00F22F49"/>
    <w:rsid w:val="00F27C18"/>
    <w:rsid w:val="00F3062E"/>
    <w:rsid w:val="00F353FF"/>
    <w:rsid w:val="00F36109"/>
    <w:rsid w:val="00F40878"/>
    <w:rsid w:val="00F436EF"/>
    <w:rsid w:val="00F5131F"/>
    <w:rsid w:val="00F527C1"/>
    <w:rsid w:val="00F52F9B"/>
    <w:rsid w:val="00F53D57"/>
    <w:rsid w:val="00F54527"/>
    <w:rsid w:val="00F55AD3"/>
    <w:rsid w:val="00F57861"/>
    <w:rsid w:val="00F57CF1"/>
    <w:rsid w:val="00F61897"/>
    <w:rsid w:val="00F62462"/>
    <w:rsid w:val="00F62661"/>
    <w:rsid w:val="00F627DC"/>
    <w:rsid w:val="00F6290C"/>
    <w:rsid w:val="00F64788"/>
    <w:rsid w:val="00F64D01"/>
    <w:rsid w:val="00F64FD1"/>
    <w:rsid w:val="00F67A26"/>
    <w:rsid w:val="00F67B1C"/>
    <w:rsid w:val="00F7058A"/>
    <w:rsid w:val="00F7222C"/>
    <w:rsid w:val="00F76D9C"/>
    <w:rsid w:val="00F7765F"/>
    <w:rsid w:val="00F77E5C"/>
    <w:rsid w:val="00F815EE"/>
    <w:rsid w:val="00F81BBA"/>
    <w:rsid w:val="00F81BD1"/>
    <w:rsid w:val="00F82B61"/>
    <w:rsid w:val="00F82E56"/>
    <w:rsid w:val="00F8334C"/>
    <w:rsid w:val="00F8366A"/>
    <w:rsid w:val="00F8476D"/>
    <w:rsid w:val="00F87098"/>
    <w:rsid w:val="00F92BDB"/>
    <w:rsid w:val="00F936A1"/>
    <w:rsid w:val="00F95574"/>
    <w:rsid w:val="00F955B5"/>
    <w:rsid w:val="00F958D9"/>
    <w:rsid w:val="00F9606F"/>
    <w:rsid w:val="00F961F1"/>
    <w:rsid w:val="00F97243"/>
    <w:rsid w:val="00FA0CE3"/>
    <w:rsid w:val="00FA2508"/>
    <w:rsid w:val="00FA26FB"/>
    <w:rsid w:val="00FA3406"/>
    <w:rsid w:val="00FA4D36"/>
    <w:rsid w:val="00FA5B35"/>
    <w:rsid w:val="00FA705B"/>
    <w:rsid w:val="00FB30A0"/>
    <w:rsid w:val="00FB7269"/>
    <w:rsid w:val="00FC53A2"/>
    <w:rsid w:val="00FC565B"/>
    <w:rsid w:val="00FC7A2B"/>
    <w:rsid w:val="00FD2651"/>
    <w:rsid w:val="00FD40F0"/>
    <w:rsid w:val="00FD5980"/>
    <w:rsid w:val="00FE0036"/>
    <w:rsid w:val="00FE5B6E"/>
    <w:rsid w:val="00FE7E0F"/>
    <w:rsid w:val="00FF1654"/>
    <w:rsid w:val="00FF2F7A"/>
    <w:rsid w:val="00FF3C19"/>
    <w:rsid w:val="00FF3F25"/>
    <w:rsid w:val="00FF410D"/>
    <w:rsid w:val="00FF4985"/>
    <w:rsid w:val="00FF4C01"/>
    <w:rsid w:val="00FF556A"/>
    <w:rsid w:val="00FF6A81"/>
    <w:rsid w:val="030921D4"/>
    <w:rsid w:val="05EF3367"/>
    <w:rsid w:val="0B77251A"/>
    <w:rsid w:val="11E11570"/>
    <w:rsid w:val="1B4D679F"/>
    <w:rsid w:val="1DF50E50"/>
    <w:rsid w:val="27CE30B7"/>
    <w:rsid w:val="2A2B162C"/>
    <w:rsid w:val="33284EB5"/>
    <w:rsid w:val="36EB1590"/>
    <w:rsid w:val="3F5518F2"/>
    <w:rsid w:val="43746181"/>
    <w:rsid w:val="43C86238"/>
    <w:rsid w:val="46122084"/>
    <w:rsid w:val="4C396040"/>
    <w:rsid w:val="50A144CD"/>
    <w:rsid w:val="50A40958"/>
    <w:rsid w:val="53D21C1F"/>
    <w:rsid w:val="5E654DAF"/>
    <w:rsid w:val="5F9B4C33"/>
    <w:rsid w:val="608406B8"/>
    <w:rsid w:val="6C9D1BA7"/>
    <w:rsid w:val="6D632526"/>
    <w:rsid w:val="6D683A7E"/>
    <w:rsid w:val="6DF93A80"/>
    <w:rsid w:val="731E0FE0"/>
    <w:rsid w:val="736217BE"/>
    <w:rsid w:val="74B119B2"/>
    <w:rsid w:val="75D232A0"/>
    <w:rsid w:val="77B6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20"/>
      <w:jc w:val="both"/>
    </w:pPr>
    <w:rPr>
      <w:rFonts w:ascii="Times New Roman" w:hAnsi="Times New Roman" w:eastAsia="宋体" w:cs="Times New Roman"/>
      <w:kern w:val="2"/>
      <w:sz w:val="21"/>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b/>
      <w:bCs/>
      <w:kern w:val="0"/>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1"/>
    <w:semiHidden/>
    <w:unhideWhenUsed/>
    <w:qFormat/>
    <w:uiPriority w:val="99"/>
    <w:pPr>
      <w:jc w:val="left"/>
    </w:pPr>
  </w:style>
  <w:style w:type="paragraph" w:styleId="4">
    <w:name w:val="Date"/>
    <w:basedOn w:val="1"/>
    <w:next w:val="1"/>
    <w:link w:val="37"/>
    <w:semiHidden/>
    <w:unhideWhenUsed/>
    <w:qFormat/>
    <w:uiPriority w:val="99"/>
    <w:pPr>
      <w:ind w:left="100" w:leftChars="2500"/>
    </w:pPr>
  </w:style>
  <w:style w:type="paragraph" w:styleId="5">
    <w:name w:val="Balloon Text"/>
    <w:basedOn w:val="1"/>
    <w:link w:val="38"/>
    <w:semiHidden/>
    <w:unhideWhenUsed/>
    <w:qFormat/>
    <w:uiPriority w:val="99"/>
    <w:pPr>
      <w:spacing w:line="240" w:lineRule="auto"/>
    </w:pPr>
    <w:rPr>
      <w:rFonts w:ascii="宋体"/>
      <w:sz w:val="18"/>
      <w:szCs w:val="18"/>
    </w:rPr>
  </w:style>
  <w:style w:type="paragraph" w:styleId="6">
    <w:name w:val="footer"/>
    <w:basedOn w:val="1"/>
    <w:link w:val="17"/>
    <w:unhideWhenUsed/>
    <w:qFormat/>
    <w:uiPriority w:val="99"/>
    <w:pPr>
      <w:tabs>
        <w:tab w:val="center" w:pos="4153"/>
        <w:tab w:val="right" w:pos="8306"/>
      </w:tabs>
      <w:snapToGrid w:val="0"/>
      <w:spacing w:line="240" w:lineRule="auto"/>
      <w:ind w:firstLine="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uto"/>
      <w:ind w:firstLine="0"/>
      <w:jc w:val="center"/>
    </w:pPr>
    <w:rPr>
      <w:rFonts w:asciiTheme="minorHAnsi" w:hAnsiTheme="minorHAnsi" w:eastAsiaTheme="minorEastAsia" w:cstheme="minorBidi"/>
      <w:sz w:val="18"/>
      <w:szCs w:val="18"/>
    </w:rPr>
  </w:style>
  <w:style w:type="paragraph" w:styleId="8">
    <w:name w:val="Body Text Indent 3"/>
    <w:basedOn w:val="1"/>
    <w:link w:val="44"/>
    <w:unhideWhenUsed/>
    <w:qFormat/>
    <w:uiPriority w:val="0"/>
    <w:pPr>
      <w:spacing w:after="120" w:line="240" w:lineRule="auto"/>
      <w:ind w:left="420" w:leftChars="200" w:firstLine="0"/>
    </w:pPr>
    <w:rPr>
      <w:sz w:val="16"/>
      <w:szCs w:val="16"/>
    </w:rPr>
  </w:style>
  <w:style w:type="paragraph" w:styleId="9">
    <w:name w:val="annotation subject"/>
    <w:basedOn w:val="3"/>
    <w:next w:val="3"/>
    <w:link w:val="42"/>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page number"/>
    <w:qFormat/>
    <w:uiPriority w:val="0"/>
    <w:rPr>
      <w:rFonts w:ascii="Times New Roman" w:hAnsi="Times New Roman" w:eastAsia="宋体"/>
      <w:sz w:val="18"/>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paragraph" w:customStyle="1" w:styleId="18">
    <w:name w:val="封面正文"/>
    <w:qFormat/>
    <w:uiPriority w:val="0"/>
    <w:pPr>
      <w:jc w:val="both"/>
    </w:pPr>
    <w:rPr>
      <w:rFonts w:ascii="Times New Roman" w:hAnsi="Times New Roman" w:eastAsia="宋体" w:cs="Times New Roman"/>
      <w:lang w:val="en-US" w:eastAsia="zh-CN" w:bidi="ar-SA"/>
    </w:rPr>
  </w:style>
  <w:style w:type="paragraph" w:customStyle="1" w:styleId="19">
    <w:name w:val="段"/>
    <w:link w:val="36"/>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1">
    <w:name w:val="标准书眉_偶数页"/>
    <w:basedOn w:val="22"/>
    <w:next w:val="1"/>
    <w:qFormat/>
    <w:uiPriority w:val="0"/>
    <w:pPr>
      <w:tabs>
        <w:tab w:val="center" w:pos="4154"/>
        <w:tab w:val="right" w:pos="8306"/>
      </w:tabs>
      <w:jc w:val="left"/>
    </w:pPr>
  </w:style>
  <w:style w:type="paragraph" w:customStyle="1" w:styleId="2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
    <w:name w:val="标准书眉一"/>
    <w:qFormat/>
    <w:uiPriority w:val="0"/>
    <w:pPr>
      <w:jc w:val="both"/>
    </w:pPr>
    <w:rPr>
      <w:rFonts w:ascii="Times New Roman" w:hAnsi="Times New Roman" w:eastAsia="宋体" w:cs="Times New Roman"/>
      <w:lang w:val="en-US" w:eastAsia="zh-CN" w:bidi="ar-SA"/>
    </w:rPr>
  </w:style>
  <w:style w:type="paragraph" w:customStyle="1" w:styleId="2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27">
    <w:name w:val="发布"/>
    <w:qFormat/>
    <w:uiPriority w:val="0"/>
    <w:rPr>
      <w:rFonts w:ascii="黑体" w:eastAsia="黑体"/>
      <w:spacing w:val="22"/>
      <w:w w:val="100"/>
      <w:position w:val="3"/>
      <w:sz w:val="28"/>
    </w:rPr>
  </w:style>
  <w:style w:type="paragraph" w:customStyle="1" w:styleId="28">
    <w:name w:val="其他发布部门"/>
    <w:basedOn w:val="1"/>
    <w:qFormat/>
    <w:uiPriority w:val="0"/>
    <w:pPr>
      <w:framePr w:w="7433" w:h="585" w:hRule="exact" w:hSpace="180" w:vSpace="180" w:wrap="around" w:vAnchor="margin" w:hAnchor="margin" w:xAlign="center" w:y="14401" w:anchorLock="1"/>
      <w:widowControl/>
      <w:spacing w:line="0" w:lineRule="atLeast"/>
      <w:ind w:firstLine="0"/>
      <w:jc w:val="center"/>
    </w:pPr>
    <w:rPr>
      <w:rFonts w:ascii="黑体" w:eastAsia="黑体"/>
      <w:spacing w:val="20"/>
      <w:w w:val="135"/>
      <w:kern w:val="0"/>
      <w:sz w:val="36"/>
    </w:rPr>
  </w:style>
  <w:style w:type="paragraph" w:customStyle="1" w:styleId="29">
    <w:name w:val="实施日期"/>
    <w:basedOn w:val="30"/>
    <w:qFormat/>
    <w:uiPriority w:val="0"/>
    <w:pPr>
      <w:framePr w:hSpace="0" w:wrap="around" w:xAlign="right"/>
      <w:jc w:val="right"/>
    </w:pPr>
  </w:style>
  <w:style w:type="paragraph" w:customStyle="1" w:styleId="3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5">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36">
    <w:name w:val="段 Char"/>
    <w:link w:val="19"/>
    <w:qFormat/>
    <w:uiPriority w:val="0"/>
    <w:rPr>
      <w:rFonts w:ascii="宋体" w:hAnsi="Times New Roman" w:eastAsia="宋体" w:cs="Times New Roman"/>
      <w:kern w:val="0"/>
      <w:szCs w:val="20"/>
    </w:rPr>
  </w:style>
  <w:style w:type="character" w:customStyle="1" w:styleId="37">
    <w:name w:val="日期 字符"/>
    <w:basedOn w:val="12"/>
    <w:link w:val="4"/>
    <w:semiHidden/>
    <w:qFormat/>
    <w:uiPriority w:val="99"/>
    <w:rPr>
      <w:rFonts w:ascii="Times New Roman" w:hAnsi="Times New Roman" w:eastAsia="宋体" w:cs="Times New Roman"/>
      <w:szCs w:val="20"/>
    </w:rPr>
  </w:style>
  <w:style w:type="character" w:customStyle="1" w:styleId="38">
    <w:name w:val="批注框文本 字符"/>
    <w:basedOn w:val="12"/>
    <w:link w:val="5"/>
    <w:semiHidden/>
    <w:qFormat/>
    <w:uiPriority w:val="99"/>
    <w:rPr>
      <w:rFonts w:ascii="宋体" w:hAnsi="Times New Roman" w:eastAsia="宋体" w:cs="Times New Roman"/>
      <w:kern w:val="2"/>
      <w:sz w:val="18"/>
      <w:szCs w:val="18"/>
    </w:rPr>
  </w:style>
  <w:style w:type="paragraph" w:customStyle="1" w:styleId="39">
    <w:name w:val="一级条标题"/>
    <w:basedOn w:val="1"/>
    <w:next w:val="19"/>
    <w:link w:val="40"/>
    <w:qFormat/>
    <w:uiPriority w:val="0"/>
    <w:pPr>
      <w:widowControl/>
      <w:tabs>
        <w:tab w:val="left" w:pos="1080"/>
      </w:tabs>
      <w:spacing w:line="240" w:lineRule="auto"/>
      <w:ind w:firstLine="0"/>
      <w:outlineLvl w:val="2"/>
    </w:pPr>
    <w:rPr>
      <w:rFonts w:ascii="宋体" w:hAnsi="宋体"/>
      <w:kern w:val="0"/>
    </w:rPr>
  </w:style>
  <w:style w:type="character" w:customStyle="1" w:styleId="40">
    <w:name w:val="一级条标题 Char"/>
    <w:link w:val="39"/>
    <w:qFormat/>
    <w:uiPriority w:val="0"/>
    <w:rPr>
      <w:rFonts w:ascii="宋体" w:hAnsi="宋体" w:eastAsia="宋体" w:cs="Times New Roman"/>
      <w:sz w:val="21"/>
    </w:rPr>
  </w:style>
  <w:style w:type="character" w:customStyle="1" w:styleId="41">
    <w:name w:val="批注文字 字符"/>
    <w:basedOn w:val="12"/>
    <w:link w:val="3"/>
    <w:semiHidden/>
    <w:qFormat/>
    <w:uiPriority w:val="99"/>
    <w:rPr>
      <w:rFonts w:ascii="Times New Roman" w:hAnsi="Times New Roman" w:eastAsia="宋体" w:cs="Times New Roman"/>
      <w:kern w:val="2"/>
      <w:sz w:val="21"/>
    </w:rPr>
  </w:style>
  <w:style w:type="character" w:customStyle="1" w:styleId="42">
    <w:name w:val="批注主题 字符"/>
    <w:basedOn w:val="41"/>
    <w:link w:val="9"/>
    <w:semiHidden/>
    <w:qFormat/>
    <w:uiPriority w:val="99"/>
    <w:rPr>
      <w:rFonts w:ascii="Times New Roman" w:hAnsi="Times New Roman" w:eastAsia="宋体" w:cs="Times New Roman"/>
      <w:b/>
      <w:bCs/>
      <w:kern w:val="2"/>
      <w:sz w:val="21"/>
    </w:rPr>
  </w:style>
  <w:style w:type="paragraph" w:customStyle="1" w:styleId="43">
    <w:name w:val="修订1"/>
    <w:hidden/>
    <w:semiHidden/>
    <w:qFormat/>
    <w:uiPriority w:val="99"/>
    <w:rPr>
      <w:rFonts w:ascii="Times New Roman" w:hAnsi="Times New Roman" w:eastAsia="宋体" w:cs="Times New Roman"/>
      <w:kern w:val="2"/>
      <w:sz w:val="21"/>
      <w:lang w:val="en-US" w:eastAsia="zh-CN" w:bidi="ar-SA"/>
    </w:rPr>
  </w:style>
  <w:style w:type="character" w:customStyle="1" w:styleId="44">
    <w:name w:val="正文文本缩进 3 字符"/>
    <w:basedOn w:val="12"/>
    <w:link w:val="8"/>
    <w:qFormat/>
    <w:uiPriority w:val="0"/>
    <w:rPr>
      <w:rFonts w:ascii="Times New Roman" w:hAnsi="Times New Roman" w:eastAsia="宋体" w:cs="Times New Roman"/>
      <w:kern w:val="2"/>
      <w:sz w:val="16"/>
      <w:szCs w:val="16"/>
    </w:rPr>
  </w:style>
  <w:style w:type="paragraph" w:customStyle="1" w:styleId="45">
    <w:name w:val="Char Char Char Char Char Char"/>
    <w:basedOn w:val="1"/>
    <w:qFormat/>
    <w:uiPriority w:val="0"/>
    <w:pPr>
      <w:widowControl/>
      <w:spacing w:after="160" w:line="240" w:lineRule="exact"/>
      <w:ind w:firstLine="0"/>
      <w:jc w:val="left"/>
    </w:pPr>
    <w:rPr>
      <w:szCs w:val="24"/>
    </w:rPr>
  </w:style>
  <w:style w:type="character" w:styleId="46">
    <w:name w:val="Placeholder Text"/>
    <w:basedOn w:val="12"/>
    <w:semiHidden/>
    <w:qFormat/>
    <w:uiPriority w:val="99"/>
    <w:rPr>
      <w:color w:val="808080"/>
    </w:rPr>
  </w:style>
  <w:style w:type="paragraph" w:customStyle="1" w:styleId="47">
    <w:name w:val="修订2"/>
    <w:hidden/>
    <w:semiHidden/>
    <w:qFormat/>
    <w:uiPriority w:val="99"/>
    <w:rPr>
      <w:rFonts w:ascii="Times New Roman" w:hAnsi="Times New Roman" w:eastAsia="宋体" w:cs="Times New Roman"/>
      <w:kern w:val="2"/>
      <w:sz w:val="21"/>
      <w:lang w:val="en-US" w:eastAsia="zh-CN" w:bidi="ar-SA"/>
    </w:rPr>
  </w:style>
  <w:style w:type="paragraph" w:customStyle="1" w:styleId="48">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AD87B-9B32-4152-93D9-AAAB8B56AF44}">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3538</Words>
  <Characters>4188</Characters>
  <Lines>32</Lines>
  <Paragraphs>9</Paragraphs>
  <TotalTime>0</TotalTime>
  <ScaleCrop>false</ScaleCrop>
  <LinksUpToDate>false</LinksUpToDate>
  <CharactersWithSpaces>4332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2025-04-21T13:29:00Z</dcterms:created>
  <dc:creator>巧玉 孙</dc:creator>
  <cp:lastModifiedBy>Kay</cp:lastModifiedBy>
  <dcterms:modified xsi:type="dcterms:W3CDTF">2025-04-30T06:15:28Z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A15D89CEA2EF4943B6326B9C18F552D2</vt:lpwstr>
  </property>
  <property fmtid="{D5CDD505-2E9C-101B-9397-08002B2CF9AE}" pid="4" name="KSOTemplateDocerSaveRecord">
    <vt:lpwstr>eyJoZGlkIjoiNTE1MmU1Y2MyNDg1NTdlMzc5N2U3YWY5YTQyNDJmYmMiLCJ1c2VySWQiOiIxMDI4NTQ2MDkyIn0=</vt:lpwstr>
  </property>
</Properties>
</file>