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B791A" w14:textId="77777777" w:rsidR="00C15E1D" w:rsidRDefault="00C15E1D">
      <w:pPr>
        <w:jc w:val="center"/>
        <w:rPr>
          <w:rFonts w:ascii="方正小标宋简体" w:eastAsia="方正小标宋简体"/>
          <w:b/>
          <w:bCs/>
          <w:sz w:val="36"/>
          <w:szCs w:val="36"/>
        </w:rPr>
      </w:pPr>
    </w:p>
    <w:p w14:paraId="3691C5D2" w14:textId="77777777" w:rsidR="00C15E1D" w:rsidRDefault="00C15E1D">
      <w:pPr>
        <w:jc w:val="center"/>
        <w:rPr>
          <w:rFonts w:ascii="方正小标宋简体" w:eastAsia="方正小标宋简体"/>
          <w:b/>
          <w:bCs/>
          <w:sz w:val="36"/>
          <w:szCs w:val="36"/>
        </w:rPr>
      </w:pPr>
    </w:p>
    <w:p w14:paraId="115EC802" w14:textId="77777777" w:rsidR="00C15E1D" w:rsidRDefault="00C15E1D">
      <w:pPr>
        <w:jc w:val="center"/>
        <w:rPr>
          <w:rFonts w:ascii="方正小标宋简体" w:eastAsia="方正小标宋简体"/>
          <w:b/>
          <w:bCs/>
          <w:sz w:val="36"/>
          <w:szCs w:val="36"/>
        </w:rPr>
      </w:pPr>
    </w:p>
    <w:p w14:paraId="560190CF" w14:textId="77777777" w:rsidR="002B66C3" w:rsidRDefault="00975517">
      <w:pPr>
        <w:jc w:val="center"/>
        <w:rPr>
          <w:rFonts w:ascii="方正小标宋简体" w:eastAsia="方正小标宋简体"/>
          <w:b/>
          <w:bCs/>
          <w:sz w:val="36"/>
          <w:szCs w:val="36"/>
        </w:rPr>
      </w:pPr>
      <w:r>
        <w:rPr>
          <w:rFonts w:ascii="方正小标宋简体" w:eastAsia="方正小标宋简体" w:hint="eastAsia"/>
          <w:b/>
          <w:bCs/>
          <w:sz w:val="36"/>
          <w:szCs w:val="36"/>
        </w:rPr>
        <w:t>《食用农产品产地重金属风险评估技术指南</w:t>
      </w:r>
    </w:p>
    <w:p w14:paraId="3211825D" w14:textId="1CECF56F" w:rsidR="00C15E1D" w:rsidRDefault="002B66C3" w:rsidP="002B66C3">
      <w:pPr>
        <w:jc w:val="center"/>
        <w:rPr>
          <w:rFonts w:ascii="方正小标宋简体" w:eastAsia="方正小标宋简体"/>
          <w:b/>
          <w:bCs/>
          <w:sz w:val="36"/>
          <w:szCs w:val="36"/>
        </w:rPr>
      </w:pPr>
      <w:r>
        <w:rPr>
          <w:rFonts w:ascii="方正小标宋简体" w:eastAsia="方正小标宋简体" w:hint="eastAsia"/>
          <w:b/>
          <w:bCs/>
          <w:sz w:val="36"/>
          <w:szCs w:val="36"/>
        </w:rPr>
        <w:t>（征求意见稿）</w:t>
      </w:r>
      <w:r w:rsidR="00975517">
        <w:rPr>
          <w:rFonts w:ascii="方正小标宋简体" w:eastAsia="方正小标宋简体" w:hint="eastAsia"/>
          <w:b/>
          <w:bCs/>
          <w:sz w:val="36"/>
          <w:szCs w:val="36"/>
        </w:rPr>
        <w:t>》</w:t>
      </w:r>
      <w:bookmarkStart w:id="0" w:name="_GoBack"/>
      <w:bookmarkEnd w:id="0"/>
      <w:r w:rsidR="00975517">
        <w:rPr>
          <w:rFonts w:ascii="方正小标宋简体" w:eastAsia="方正小标宋简体" w:hint="eastAsia"/>
          <w:b/>
          <w:bCs/>
          <w:sz w:val="36"/>
          <w:szCs w:val="36"/>
        </w:rPr>
        <w:t>编制说明</w:t>
      </w:r>
    </w:p>
    <w:p w14:paraId="64C309EB" w14:textId="77777777" w:rsidR="00C15E1D" w:rsidRDefault="00975517">
      <w:pPr>
        <w:spacing w:beforeLines="200" w:before="624"/>
        <w:ind w:firstLineChars="200" w:firstLine="640"/>
        <w:jc w:val="both"/>
        <w:outlineLvl w:val="0"/>
        <w:rPr>
          <w:rFonts w:ascii="黑体" w:eastAsia="黑体" w:hAnsi="黑体"/>
          <w:szCs w:val="32"/>
        </w:rPr>
      </w:pPr>
      <w:r>
        <w:rPr>
          <w:rFonts w:ascii="黑体" w:eastAsia="黑体" w:hAnsi="黑体" w:hint="eastAsia"/>
          <w:szCs w:val="32"/>
        </w:rPr>
        <w:t>一、任务背景</w:t>
      </w:r>
    </w:p>
    <w:p w14:paraId="296057EF" w14:textId="77777777" w:rsidR="00C15E1D" w:rsidRDefault="00975517">
      <w:pPr>
        <w:ind w:firstLineChars="200" w:firstLine="643"/>
        <w:jc w:val="both"/>
        <w:outlineLvl w:val="1"/>
        <w:rPr>
          <w:rFonts w:ascii="楷体_GB2312" w:eastAsia="楷体_GB2312" w:hAnsi="楷体_GB2312"/>
          <w:b/>
          <w:bCs/>
          <w:szCs w:val="32"/>
        </w:rPr>
      </w:pPr>
      <w:r>
        <w:rPr>
          <w:rFonts w:ascii="楷体_GB2312" w:eastAsia="楷体_GB2312" w:hAnsi="楷体_GB2312" w:hint="eastAsia"/>
          <w:b/>
          <w:bCs/>
          <w:szCs w:val="32"/>
        </w:rPr>
        <w:t>（一）任务由来</w:t>
      </w:r>
    </w:p>
    <w:p w14:paraId="701A4450" w14:textId="77777777" w:rsidR="00C15E1D" w:rsidRDefault="00975517">
      <w:pPr>
        <w:spacing w:line="360" w:lineRule="auto"/>
        <w:ind w:firstLineChars="200" w:firstLine="640"/>
        <w:jc w:val="both"/>
        <w:rPr>
          <w:rFonts w:cs="Times New Roman"/>
          <w:szCs w:val="32"/>
        </w:rPr>
      </w:pPr>
      <w:r>
        <w:rPr>
          <w:rFonts w:cs="Times New Roman"/>
          <w:szCs w:val="32"/>
        </w:rPr>
        <w:t>2016</w:t>
      </w:r>
      <w:r>
        <w:rPr>
          <w:rFonts w:cs="Times New Roman"/>
          <w:szCs w:val="32"/>
        </w:rPr>
        <w:t>年</w:t>
      </w:r>
      <w:r>
        <w:rPr>
          <w:rFonts w:cs="Times New Roman" w:hint="eastAsia"/>
          <w:szCs w:val="32"/>
        </w:rPr>
        <w:t>5</w:t>
      </w:r>
      <w:r>
        <w:rPr>
          <w:rFonts w:cs="Times New Roman" w:hint="eastAsia"/>
          <w:szCs w:val="32"/>
        </w:rPr>
        <w:t>月</w:t>
      </w:r>
      <w:r>
        <w:rPr>
          <w:rFonts w:cs="Times New Roman"/>
          <w:szCs w:val="32"/>
        </w:rPr>
        <w:t>国务院印发了《土壤污染防治行动计划》</w:t>
      </w:r>
      <w:r>
        <w:rPr>
          <w:rFonts w:cs="Times New Roman" w:hint="eastAsia"/>
          <w:szCs w:val="32"/>
        </w:rPr>
        <w:t>（以下简称“土十条”）</w:t>
      </w:r>
      <w:r>
        <w:rPr>
          <w:rFonts w:cs="Times New Roman"/>
          <w:szCs w:val="32"/>
        </w:rPr>
        <w:t>，明确了</w:t>
      </w:r>
      <w:r>
        <w:rPr>
          <w:rFonts w:cs="Times New Roman" w:hint="eastAsia"/>
          <w:szCs w:val="32"/>
        </w:rPr>
        <w:t>到</w:t>
      </w:r>
      <w:r>
        <w:rPr>
          <w:rFonts w:cs="Times New Roman" w:hint="eastAsia"/>
          <w:szCs w:val="32"/>
        </w:rPr>
        <w:t>2030</w:t>
      </w:r>
      <w:r>
        <w:rPr>
          <w:rFonts w:cs="Times New Roman" w:hint="eastAsia"/>
          <w:szCs w:val="32"/>
        </w:rPr>
        <w:t>年底之前</w:t>
      </w:r>
      <w:r>
        <w:rPr>
          <w:rFonts w:cs="Times New Roman"/>
          <w:szCs w:val="32"/>
        </w:rPr>
        <w:t>土壤污染防治工作的重点方向和目标任务。为</w:t>
      </w:r>
      <w:r>
        <w:rPr>
          <w:rFonts w:cs="Times New Roman" w:hint="eastAsia"/>
          <w:szCs w:val="32"/>
        </w:rPr>
        <w:t>贯彻</w:t>
      </w:r>
      <w:r>
        <w:rPr>
          <w:rFonts w:cs="Times New Roman"/>
          <w:szCs w:val="32"/>
        </w:rPr>
        <w:t>落实</w:t>
      </w:r>
      <w:r>
        <w:rPr>
          <w:rFonts w:cs="Times New Roman" w:hint="eastAsia"/>
          <w:szCs w:val="32"/>
        </w:rPr>
        <w:t>“土十条”</w:t>
      </w:r>
      <w:r>
        <w:rPr>
          <w:rFonts w:cs="Times New Roman"/>
          <w:szCs w:val="32"/>
        </w:rPr>
        <w:t>，指导开展</w:t>
      </w:r>
      <w:r>
        <w:rPr>
          <w:rFonts w:cs="Times New Roman" w:hint="eastAsia"/>
          <w:szCs w:val="32"/>
        </w:rPr>
        <w:t>受污染</w:t>
      </w:r>
      <w:r>
        <w:rPr>
          <w:rFonts w:cs="Times New Roman"/>
          <w:szCs w:val="32"/>
        </w:rPr>
        <w:t>耕地</w:t>
      </w:r>
      <w:r>
        <w:rPr>
          <w:rFonts w:cs="Times New Roman" w:hint="eastAsia"/>
          <w:szCs w:val="32"/>
        </w:rPr>
        <w:t>分类管理与治理修复</w:t>
      </w:r>
      <w:r>
        <w:rPr>
          <w:rFonts w:cs="Times New Roman"/>
          <w:szCs w:val="32"/>
        </w:rPr>
        <w:t>，农业农村部立项</w:t>
      </w:r>
      <w:r>
        <w:rPr>
          <w:rFonts w:cs="Times New Roman" w:hint="eastAsia"/>
          <w:szCs w:val="32"/>
        </w:rPr>
        <w:t>了</w:t>
      </w:r>
      <w:r>
        <w:rPr>
          <w:rFonts w:cs="Times New Roman"/>
          <w:szCs w:val="32"/>
        </w:rPr>
        <w:t>行业标准制修订项目《</w:t>
      </w:r>
      <w:bookmarkStart w:id="1" w:name="_Hlk73143324"/>
      <w:r>
        <w:rPr>
          <w:rFonts w:cs="Times New Roman" w:hint="eastAsia"/>
          <w:szCs w:val="32"/>
        </w:rPr>
        <w:t>食用农产品产地重金属风险评估技术指南</w:t>
      </w:r>
      <w:bookmarkEnd w:id="1"/>
      <w:r>
        <w:rPr>
          <w:rFonts w:cs="Times New Roman"/>
          <w:szCs w:val="32"/>
        </w:rPr>
        <w:t>》（</w:t>
      </w:r>
      <w:r>
        <w:rPr>
          <w:rFonts w:cs="Times New Roman" w:hint="eastAsia"/>
          <w:szCs w:val="32"/>
        </w:rPr>
        <w:t>农质标函</w:t>
      </w:r>
      <w:r>
        <w:rPr>
          <w:rFonts w:cs="Times New Roman"/>
          <w:szCs w:val="32"/>
        </w:rPr>
        <w:t>〔</w:t>
      </w:r>
      <w:r>
        <w:rPr>
          <w:rFonts w:cs="Times New Roman"/>
          <w:szCs w:val="32"/>
        </w:rPr>
        <w:t>2019</w:t>
      </w:r>
      <w:r>
        <w:rPr>
          <w:rFonts w:cs="Times New Roman"/>
          <w:szCs w:val="32"/>
        </w:rPr>
        <w:t>〕</w:t>
      </w:r>
      <w:r>
        <w:rPr>
          <w:rFonts w:cs="Times New Roman"/>
          <w:szCs w:val="32"/>
        </w:rPr>
        <w:t>77</w:t>
      </w:r>
      <w:r>
        <w:rPr>
          <w:rFonts w:cs="Times New Roman"/>
          <w:szCs w:val="32"/>
        </w:rPr>
        <w:t>号），由农业农村部农业生态与资源保护总站（以下简称</w:t>
      </w:r>
      <w:r>
        <w:rPr>
          <w:rFonts w:cs="Times New Roman"/>
          <w:szCs w:val="32"/>
        </w:rPr>
        <w:t>“</w:t>
      </w:r>
      <w:r>
        <w:rPr>
          <w:rFonts w:cs="Times New Roman"/>
          <w:szCs w:val="32"/>
        </w:rPr>
        <w:t>生态总站</w:t>
      </w:r>
      <w:r>
        <w:rPr>
          <w:rFonts w:cs="Times New Roman"/>
          <w:szCs w:val="32"/>
        </w:rPr>
        <w:t>”</w:t>
      </w:r>
      <w:r>
        <w:rPr>
          <w:rFonts w:cs="Times New Roman"/>
          <w:szCs w:val="32"/>
        </w:rPr>
        <w:t>）牵头承担。本标准为首次制定。</w:t>
      </w:r>
    </w:p>
    <w:p w14:paraId="3ABB9EC2" w14:textId="77777777" w:rsidR="00C15E1D" w:rsidRDefault="00975517">
      <w:pPr>
        <w:ind w:firstLineChars="200" w:firstLine="643"/>
        <w:jc w:val="both"/>
        <w:outlineLvl w:val="1"/>
        <w:rPr>
          <w:rFonts w:ascii="楷体_GB2312" w:eastAsia="楷体_GB2312" w:hAnsi="楷体_GB2312"/>
          <w:b/>
          <w:bCs/>
          <w:szCs w:val="32"/>
        </w:rPr>
      </w:pPr>
      <w:r>
        <w:rPr>
          <w:rFonts w:ascii="楷体_GB2312" w:eastAsia="楷体_GB2312" w:hAnsi="楷体_GB2312" w:hint="eastAsia"/>
          <w:b/>
          <w:bCs/>
          <w:szCs w:val="32"/>
        </w:rPr>
        <w:t>（二）工作过程</w:t>
      </w:r>
    </w:p>
    <w:p w14:paraId="4AC64F51" w14:textId="77777777" w:rsidR="00C15E1D" w:rsidRDefault="00975517">
      <w:pPr>
        <w:spacing w:line="360" w:lineRule="auto"/>
        <w:ind w:firstLineChars="200" w:firstLine="640"/>
        <w:jc w:val="both"/>
        <w:rPr>
          <w:rFonts w:cs="Times New Roman"/>
          <w:szCs w:val="32"/>
        </w:rPr>
      </w:pPr>
      <w:r>
        <w:rPr>
          <w:rFonts w:cs="Times New Roman"/>
          <w:szCs w:val="32"/>
        </w:rPr>
        <w:t>接受任务后，生态总站</w:t>
      </w:r>
      <w:r>
        <w:rPr>
          <w:rFonts w:cs="Times New Roman" w:hint="eastAsia"/>
          <w:szCs w:val="32"/>
        </w:rPr>
        <w:t>联合广东省科学院生态环境与土壤研究所、生态环境部土壤中心、农业农村部环境保护科研监测所、生态环境部南京环境科学研究所等单位</w:t>
      </w:r>
      <w:r>
        <w:rPr>
          <w:rFonts w:cs="Times New Roman"/>
          <w:szCs w:val="32"/>
        </w:rPr>
        <w:t>成立了标准编制组，召开专门会议探讨编制任务，制定编制方案。</w:t>
      </w:r>
      <w:r>
        <w:rPr>
          <w:rFonts w:cs="Times New Roman" w:hint="eastAsia"/>
          <w:szCs w:val="32"/>
        </w:rPr>
        <w:t>编制组</w:t>
      </w:r>
      <w:r>
        <w:rPr>
          <w:rFonts w:cs="Times New Roman"/>
          <w:szCs w:val="32"/>
        </w:rPr>
        <w:t>广泛查阅国内外相关文献，结合我国耕地污染防治实践和</w:t>
      </w:r>
      <w:r>
        <w:rPr>
          <w:rFonts w:cs="Times New Roman"/>
          <w:szCs w:val="32"/>
        </w:rPr>
        <w:lastRenderedPageBreak/>
        <w:t>案例，邀请耕地污染防治相关领导、专家就标准的任务目标、整体框架和编制思路进行了指导，组织召开了多次专家座谈会，邀请行业内专家和地方农业部门同志对标准编制方案进行探讨，征求了国内主要相关科研机构专家意见，在此基础上形成了《食用农产品产地重金属风险评估技术指南（征求意见稿）》。</w:t>
      </w:r>
      <w:r>
        <w:rPr>
          <w:rFonts w:cs="Times New Roman" w:hint="eastAsia"/>
          <w:szCs w:val="32"/>
        </w:rPr>
        <w:t>标准规范文本形成后，已应用于广东韶关土壤污染综合防治先行区、广西长林受污染耕地安全利用等耕地污染治理实践工作，取得了良好效果。</w:t>
      </w:r>
      <w:r>
        <w:rPr>
          <w:rFonts w:cs="Times New Roman"/>
          <w:szCs w:val="32"/>
        </w:rPr>
        <w:t>2021</w:t>
      </w:r>
      <w:r>
        <w:rPr>
          <w:rFonts w:cs="Times New Roman"/>
          <w:szCs w:val="32"/>
        </w:rPr>
        <w:t>年</w:t>
      </w:r>
      <w:r>
        <w:rPr>
          <w:rFonts w:cs="Times New Roman"/>
          <w:szCs w:val="32"/>
        </w:rPr>
        <w:t>4</w:t>
      </w:r>
      <w:r>
        <w:rPr>
          <w:rFonts w:cs="Times New Roman"/>
          <w:szCs w:val="32"/>
        </w:rPr>
        <w:t>月，</w:t>
      </w:r>
      <w:r>
        <w:rPr>
          <w:rFonts w:cs="Times New Roman" w:hint="eastAsia"/>
          <w:szCs w:val="32"/>
        </w:rPr>
        <w:t>农业农村部科技教育司</w:t>
      </w:r>
      <w:r>
        <w:rPr>
          <w:rFonts w:cs="Times New Roman"/>
          <w:szCs w:val="32"/>
        </w:rPr>
        <w:t>在北京召开了《征求意见稿》论证会，</w:t>
      </w:r>
      <w:r>
        <w:rPr>
          <w:rFonts w:cs="Times New Roman" w:hint="eastAsia"/>
          <w:szCs w:val="32"/>
        </w:rPr>
        <w:t>邀请</w:t>
      </w:r>
      <w:r>
        <w:rPr>
          <w:rFonts w:cs="Times New Roman"/>
          <w:szCs w:val="32"/>
        </w:rPr>
        <w:t>中科院南京土壤所、中科院地理所、中国农业大学、中国环境科学院、中国农科院等单位专家进行论证</w:t>
      </w:r>
      <w:r>
        <w:rPr>
          <w:rFonts w:cs="Times New Roman" w:hint="eastAsia"/>
          <w:szCs w:val="32"/>
        </w:rPr>
        <w:t>。专家一致</w:t>
      </w:r>
      <w:r>
        <w:rPr>
          <w:rFonts w:cs="Times New Roman"/>
          <w:szCs w:val="32"/>
        </w:rPr>
        <w:t>认为标准文本总体已比较成熟，建议向相关行业和单位进一步征求意见，按程序报批。</w:t>
      </w:r>
    </w:p>
    <w:p w14:paraId="34DDC446" w14:textId="77777777" w:rsidR="00C15E1D" w:rsidRDefault="00975517">
      <w:pPr>
        <w:ind w:firstLineChars="200" w:firstLine="640"/>
        <w:jc w:val="both"/>
        <w:outlineLvl w:val="0"/>
        <w:rPr>
          <w:rFonts w:ascii="黑体" w:eastAsia="黑体" w:hAnsi="黑体"/>
          <w:szCs w:val="32"/>
        </w:rPr>
      </w:pPr>
      <w:r>
        <w:rPr>
          <w:rFonts w:ascii="黑体" w:eastAsia="黑体" w:hAnsi="黑体" w:hint="eastAsia"/>
          <w:szCs w:val="32"/>
        </w:rPr>
        <w:t>二、标准编制必要性</w:t>
      </w:r>
    </w:p>
    <w:p w14:paraId="3ABF6FD8" w14:textId="77777777" w:rsidR="00C15E1D" w:rsidRDefault="00975517">
      <w:pPr>
        <w:ind w:firstLineChars="200" w:firstLine="643"/>
        <w:jc w:val="both"/>
        <w:rPr>
          <w:rFonts w:ascii="宋体" w:hAnsi="宋体" w:cs="宋体"/>
          <w:szCs w:val="32"/>
        </w:rPr>
      </w:pPr>
      <w:r>
        <w:rPr>
          <w:rFonts w:ascii="楷体_GB2312" w:eastAsia="楷体_GB2312" w:hAnsi="楷体_GB2312" w:hint="eastAsia"/>
          <w:b/>
          <w:bCs/>
          <w:szCs w:val="32"/>
        </w:rPr>
        <w:t>（一）当前我国食用农产品产地重金属污染状况不容乐观。</w:t>
      </w:r>
      <w:r>
        <w:rPr>
          <w:rFonts w:ascii="宋体" w:hAnsi="宋体" w:cs="宋体" w:hint="eastAsia"/>
          <w:szCs w:val="32"/>
        </w:rPr>
        <w:t>随着我国经济高速发展，工业“三废”不断进入农田，农产品产地环境遭受严重威胁，土壤污染进入一个矛盾多发期，引发一系列社会关注问题：一是食用农产品超标较重，严重威胁食物安全。典型的是南方局部地区水稻镉污染问题、北方局部地区小麦镉污染问题和一些大中城市郊区蔬菜中重金属含量超标。食品安全引发了人们对健康的担忧，同时造成了污染区域农民种粮积极性下降、粮食数量安全堪忧、</w:t>
      </w:r>
      <w:r>
        <w:rPr>
          <w:rFonts w:ascii="宋体" w:hAnsi="宋体" w:cs="宋体" w:hint="eastAsia"/>
          <w:szCs w:val="32"/>
        </w:rPr>
        <w:lastRenderedPageBreak/>
        <w:t>收益减低、粮食销售不畅、加工企业倒闭等问题。二是耕地污染加重，挑战农业可持续发展。一些工矿企业周边农区包括乡镇企业密集区、污水灌区和城郊土壤污染累积量大，分布面广。加之酸雨及农用化学品大量使用造成的土壤酸化，进一步加重了耕地污染危害，农业可持续发展面临的压力越来越大。三是污染事故频发，影响社会安定团结。近年来，接连发生的“镉米”、“有色大米”、“镉麦”等农产品污染事故，造成了社会恐慌，人民群众对环境质量的不信任感加剧。</w:t>
      </w:r>
    </w:p>
    <w:p w14:paraId="5D329712" w14:textId="77777777" w:rsidR="00C15E1D" w:rsidRDefault="00975517">
      <w:pPr>
        <w:ind w:firstLineChars="200" w:firstLine="643"/>
        <w:jc w:val="both"/>
        <w:rPr>
          <w:rFonts w:cs="Times New Roman"/>
          <w:szCs w:val="32"/>
        </w:rPr>
      </w:pPr>
      <w:r>
        <w:rPr>
          <w:rFonts w:eastAsia="楷体_GB2312" w:cs="Times New Roman"/>
          <w:b/>
          <w:bCs/>
          <w:szCs w:val="32"/>
        </w:rPr>
        <w:t>（二）基于土壤污染程度划分的土壤环境质量无法准确反映农产品超标风险。</w:t>
      </w:r>
      <w:r>
        <w:rPr>
          <w:rFonts w:cs="Times New Roman"/>
          <w:szCs w:val="32"/>
        </w:rPr>
        <w:t>按照</w:t>
      </w:r>
      <w:r>
        <w:rPr>
          <w:rFonts w:cs="Times New Roman"/>
          <w:szCs w:val="32"/>
        </w:rPr>
        <w:t>“</w:t>
      </w:r>
      <w:r>
        <w:rPr>
          <w:rFonts w:cs="Times New Roman"/>
          <w:szCs w:val="32"/>
        </w:rPr>
        <w:t>土十条</w:t>
      </w:r>
      <w:r>
        <w:rPr>
          <w:rFonts w:cs="Times New Roman"/>
          <w:szCs w:val="32"/>
        </w:rPr>
        <w:t>”</w:t>
      </w:r>
      <w:r>
        <w:rPr>
          <w:rFonts w:cs="Times New Roman"/>
          <w:szCs w:val="32"/>
        </w:rPr>
        <w:t>要求，到</w:t>
      </w:r>
      <w:r>
        <w:rPr>
          <w:rFonts w:cs="Times New Roman"/>
          <w:szCs w:val="32"/>
        </w:rPr>
        <w:t>2020</w:t>
      </w:r>
      <w:r>
        <w:rPr>
          <w:rFonts w:cs="Times New Roman"/>
          <w:szCs w:val="32"/>
        </w:rPr>
        <w:t>年底，要全面完成耕地土壤环境质量类别划分，实现耕地分类管理。为贯彻落实</w:t>
      </w:r>
      <w:r>
        <w:rPr>
          <w:rFonts w:cs="Times New Roman"/>
          <w:szCs w:val="32"/>
        </w:rPr>
        <w:t>“</w:t>
      </w:r>
      <w:r>
        <w:rPr>
          <w:rFonts w:cs="Times New Roman"/>
          <w:szCs w:val="32"/>
        </w:rPr>
        <w:t>土十条</w:t>
      </w:r>
      <w:r>
        <w:rPr>
          <w:rFonts w:cs="Times New Roman"/>
          <w:szCs w:val="32"/>
        </w:rPr>
        <w:t>”</w:t>
      </w:r>
      <w:r>
        <w:rPr>
          <w:rFonts w:cs="Times New Roman"/>
          <w:szCs w:val="32"/>
        </w:rPr>
        <w:t>，</w:t>
      </w:r>
      <w:r>
        <w:rPr>
          <w:rFonts w:cs="Times New Roman"/>
          <w:szCs w:val="32"/>
        </w:rPr>
        <w:t>2019</w:t>
      </w:r>
      <w:r>
        <w:rPr>
          <w:rFonts w:cs="Times New Roman"/>
          <w:szCs w:val="32"/>
        </w:rPr>
        <w:t>年生态环境部、农业农村部联合印发了《农用地土壤环境质量类别划分技术指南》（环办土壤〔</w:t>
      </w:r>
      <w:r>
        <w:rPr>
          <w:rFonts w:cs="Times New Roman"/>
          <w:szCs w:val="32"/>
        </w:rPr>
        <w:t>2019</w:t>
      </w:r>
      <w:r>
        <w:rPr>
          <w:rFonts w:cs="Times New Roman"/>
          <w:szCs w:val="32"/>
        </w:rPr>
        <w:t>〕</w:t>
      </w:r>
      <w:r>
        <w:rPr>
          <w:rFonts w:cs="Times New Roman"/>
          <w:szCs w:val="32"/>
        </w:rPr>
        <w:t>53</w:t>
      </w:r>
      <w:r>
        <w:rPr>
          <w:rFonts w:cs="Times New Roman"/>
          <w:szCs w:val="32"/>
        </w:rPr>
        <w:t>号），深入推进耕地土壤环境质量类别划分工作。该技术指南基于全国农</w:t>
      </w:r>
      <w:r>
        <w:rPr>
          <w:rFonts w:cs="Times New Roman" w:hint="eastAsia"/>
          <w:szCs w:val="32"/>
        </w:rPr>
        <w:t>用地土壤污染状况详查结果，根据农用地土壤污染风险管控标准（</w:t>
      </w:r>
      <w:r>
        <w:rPr>
          <w:rFonts w:cs="Times New Roman" w:hint="eastAsia"/>
          <w:szCs w:val="32"/>
        </w:rPr>
        <w:t>GB 15618-2018</w:t>
      </w:r>
      <w:r>
        <w:rPr>
          <w:rFonts w:cs="Times New Roman" w:hint="eastAsia"/>
          <w:szCs w:val="32"/>
        </w:rPr>
        <w:t>），将耕地土壤划分为优先保护类、安全利用类与严格管控类。截止到</w:t>
      </w:r>
      <w:r>
        <w:rPr>
          <w:rFonts w:cs="Times New Roman" w:hint="eastAsia"/>
          <w:szCs w:val="32"/>
        </w:rPr>
        <w:t>2020</w:t>
      </w:r>
      <w:r>
        <w:rPr>
          <w:rFonts w:cs="Times New Roman" w:hint="eastAsia"/>
          <w:szCs w:val="32"/>
        </w:rPr>
        <w:t>年</w:t>
      </w:r>
      <w:r>
        <w:rPr>
          <w:rFonts w:cs="Times New Roman" w:hint="eastAsia"/>
          <w:szCs w:val="32"/>
        </w:rPr>
        <w:t>12</w:t>
      </w:r>
      <w:r>
        <w:rPr>
          <w:rFonts w:cs="Times New Roman" w:hint="eastAsia"/>
          <w:szCs w:val="32"/>
        </w:rPr>
        <w:t>月</w:t>
      </w:r>
      <w:r>
        <w:rPr>
          <w:rFonts w:cs="Times New Roman" w:hint="eastAsia"/>
          <w:szCs w:val="32"/>
        </w:rPr>
        <w:t>31</w:t>
      </w:r>
      <w:r>
        <w:rPr>
          <w:rFonts w:cs="Times New Roman" w:hint="eastAsia"/>
          <w:szCs w:val="32"/>
        </w:rPr>
        <w:t>日，全国</w:t>
      </w:r>
      <w:r>
        <w:rPr>
          <w:rFonts w:cs="Times New Roman" w:hint="eastAsia"/>
          <w:szCs w:val="32"/>
        </w:rPr>
        <w:t>31</w:t>
      </w:r>
      <w:r>
        <w:rPr>
          <w:rFonts w:cs="Times New Roman" w:hint="eastAsia"/>
          <w:szCs w:val="32"/>
        </w:rPr>
        <w:t>个省份、</w:t>
      </w:r>
      <w:r>
        <w:rPr>
          <w:rFonts w:cs="Times New Roman" w:hint="eastAsia"/>
          <w:szCs w:val="32"/>
        </w:rPr>
        <w:t>2783</w:t>
      </w:r>
      <w:r>
        <w:rPr>
          <w:rFonts w:cs="Times New Roman" w:hint="eastAsia"/>
          <w:szCs w:val="32"/>
        </w:rPr>
        <w:t>个涉农县已全部完成划分工作，建立了“一图一表”耕地分类清单。但另一方面，</w:t>
      </w:r>
      <w:r>
        <w:rPr>
          <w:rFonts w:cs="Times New Roman"/>
          <w:szCs w:val="32"/>
        </w:rPr>
        <w:t>土壤重金属含量与农产品质量之间并非简单的直接对应关系，不能简单认为耕地某些指标超过限量值，农产品就一定超标，农产品就不安全</w:t>
      </w:r>
      <w:r>
        <w:rPr>
          <w:rFonts w:cs="Times New Roman" w:hint="eastAsia"/>
          <w:szCs w:val="32"/>
        </w:rPr>
        <w:t>，</w:t>
      </w:r>
      <w:r>
        <w:rPr>
          <w:rFonts w:cs="Times New Roman"/>
          <w:szCs w:val="32"/>
        </w:rPr>
        <w:t>在实际中，经常出现土壤超标</w:t>
      </w:r>
      <w:r>
        <w:rPr>
          <w:rFonts w:cs="Times New Roman"/>
          <w:szCs w:val="32"/>
        </w:rPr>
        <w:lastRenderedPageBreak/>
        <w:t>而农产品不超标，或土壤不超标而农产品超标的情况，例如酸性水稻土区，土壤镉含量很低即会造成稻米镉超标，而北方碱性土壤镉含量即使远大于</w:t>
      </w:r>
      <w:r>
        <w:rPr>
          <w:rFonts w:cs="Times New Roman" w:hint="eastAsia"/>
          <w:szCs w:val="32"/>
        </w:rPr>
        <w:t>筛选值</w:t>
      </w:r>
      <w:r>
        <w:rPr>
          <w:rFonts w:cs="Times New Roman"/>
          <w:szCs w:val="32"/>
        </w:rPr>
        <w:t>，其所产稻米的镉含量也不会超标。</w:t>
      </w:r>
      <w:r>
        <w:rPr>
          <w:rFonts w:cs="Times New Roman" w:hint="eastAsia"/>
          <w:szCs w:val="32"/>
        </w:rPr>
        <w:t>直接用土壤环境质量状况去研判农产品超标风险，不仅无法保障农产品质量安全的需求，还会严重误导土壤污染管理，不利于精准治污、科学治污。</w:t>
      </w:r>
    </w:p>
    <w:p w14:paraId="78DA7310" w14:textId="77777777" w:rsidR="00C15E1D" w:rsidRDefault="00975517">
      <w:pPr>
        <w:ind w:firstLineChars="200" w:firstLine="643"/>
        <w:rPr>
          <w:rFonts w:cs="Times New Roman"/>
          <w:szCs w:val="32"/>
        </w:rPr>
      </w:pPr>
      <w:r>
        <w:rPr>
          <w:rFonts w:ascii="楷体_GB2312" w:eastAsia="楷体_GB2312" w:hAnsi="楷体_GB2312" w:hint="eastAsia"/>
          <w:b/>
          <w:bCs/>
          <w:szCs w:val="32"/>
        </w:rPr>
        <w:t>（三）农产品超标状况关系到后续耕地风险管控措施的选取。</w:t>
      </w:r>
      <w:r>
        <w:rPr>
          <w:rFonts w:cs="Times New Roman"/>
          <w:szCs w:val="32"/>
        </w:rPr>
        <w:t>土壤污染防治法</w:t>
      </w:r>
      <w:r>
        <w:rPr>
          <w:rFonts w:cs="Times New Roman" w:hint="eastAsia"/>
          <w:szCs w:val="32"/>
        </w:rPr>
        <w:t>规定，国家建立农用地分类管理制度，对安全利用类农用地实施农艺调控、替代种植等安全利用类措施，对严格管控类农用地采取调整种植结构、退耕还林还草、轮作休耕等严格管控类措施。但在实践中，由于安全利用类耕地及严格管控类农用地上种植的农产品种类复杂多样，其超标状况与措施落实后的效果好坏直接相关，具体来看，对于部分农产品超标严重的安全利用类耕地，即使落实了安全利用类措施也难以实现农产品稳定达标生产，而对于部分农产品超标比例不高或仅有零星超标的安全利用类耕地，简单优化农艺措施即可以实现安全生产。土壤污染防治法</w:t>
      </w:r>
      <w:r>
        <w:rPr>
          <w:rFonts w:cs="Times New Roman"/>
          <w:szCs w:val="32"/>
        </w:rPr>
        <w:t>第</w:t>
      </w:r>
      <w:r>
        <w:rPr>
          <w:rFonts w:cs="Times New Roman"/>
          <w:szCs w:val="32"/>
        </w:rPr>
        <w:t>57</w:t>
      </w:r>
      <w:r>
        <w:rPr>
          <w:rFonts w:cs="Times New Roman"/>
          <w:szCs w:val="32"/>
        </w:rPr>
        <w:t>条</w:t>
      </w:r>
      <w:r>
        <w:rPr>
          <w:rFonts w:cs="Times New Roman" w:hint="eastAsia"/>
          <w:szCs w:val="32"/>
        </w:rPr>
        <w:t>还</w:t>
      </w:r>
      <w:r>
        <w:rPr>
          <w:rFonts w:cs="Times New Roman"/>
          <w:szCs w:val="32"/>
        </w:rPr>
        <w:t>规定，（土壤污染）修复活动应当优先采取不影响农业生产、不降低土壤生产功能的生物修复措施，阻断或减少污染物进入农作物食用部分，确保农产品质量安全。</w:t>
      </w:r>
      <w:r>
        <w:rPr>
          <w:rFonts w:cs="Times New Roman" w:hint="eastAsia"/>
          <w:szCs w:val="32"/>
        </w:rPr>
        <w:t>由于土壤</w:t>
      </w:r>
      <w:r>
        <w:rPr>
          <w:rFonts w:cs="Times New Roman" w:hint="eastAsia"/>
          <w:szCs w:val="32"/>
        </w:rPr>
        <w:t>-</w:t>
      </w:r>
      <w:r>
        <w:rPr>
          <w:rFonts w:cs="Times New Roman" w:hint="eastAsia"/>
          <w:szCs w:val="32"/>
        </w:rPr>
        <w:t>农产品对应关系的复杂性，在落实耕地分类管理措施</w:t>
      </w:r>
      <w:r>
        <w:rPr>
          <w:rFonts w:cs="Times New Roman" w:hint="eastAsia"/>
          <w:szCs w:val="32"/>
        </w:rPr>
        <w:lastRenderedPageBreak/>
        <w:t>时，需要综合考虑土壤环境质量及农产品超标状况，因地因作物施策。</w:t>
      </w:r>
    </w:p>
    <w:p w14:paraId="6F7D31BC" w14:textId="77777777" w:rsidR="00C15E1D" w:rsidRDefault="00975517">
      <w:pPr>
        <w:widowControl w:val="0"/>
        <w:spacing w:line="360" w:lineRule="auto"/>
        <w:ind w:firstLineChars="200" w:firstLine="643"/>
        <w:jc w:val="both"/>
        <w:rPr>
          <w:rFonts w:eastAsia="仿宋_GB2312" w:cs="Times New Roman"/>
          <w:szCs w:val="24"/>
        </w:rPr>
      </w:pPr>
      <w:r>
        <w:rPr>
          <w:rFonts w:ascii="楷体_GB2312" w:eastAsia="楷体_GB2312" w:hAnsi="楷体_GB2312" w:cs="楷体_GB2312" w:hint="eastAsia"/>
          <w:b/>
          <w:bCs/>
          <w:szCs w:val="32"/>
        </w:rPr>
        <w:t>（四）食用农产品产地风险评估无法简单套用建设用地标准规范。</w:t>
      </w:r>
      <w:r>
        <w:rPr>
          <w:rFonts w:cs="Times New Roman"/>
          <w:szCs w:val="24"/>
        </w:rPr>
        <w:t>目前，针对</w:t>
      </w:r>
      <w:r>
        <w:rPr>
          <w:rFonts w:cs="Times New Roman" w:hint="eastAsia"/>
          <w:szCs w:val="24"/>
        </w:rPr>
        <w:t>建设用地</w:t>
      </w:r>
      <w:r>
        <w:rPr>
          <w:rFonts w:cs="Times New Roman"/>
          <w:szCs w:val="24"/>
        </w:rPr>
        <w:t>已有较为成熟的</w:t>
      </w:r>
      <w:r>
        <w:rPr>
          <w:rFonts w:cs="Times New Roman" w:hint="eastAsia"/>
          <w:szCs w:val="24"/>
        </w:rPr>
        <w:t>风险管控与修复</w:t>
      </w:r>
      <w:r>
        <w:rPr>
          <w:rFonts w:cs="Times New Roman"/>
          <w:szCs w:val="24"/>
        </w:rPr>
        <w:t>技术，也出台了一些规范与标准，</w:t>
      </w:r>
      <w:r>
        <w:rPr>
          <w:rFonts w:cs="Times New Roman" w:hint="eastAsia"/>
          <w:szCs w:val="24"/>
        </w:rPr>
        <w:t>其中关于风险评估的有《建设用地土壤污染风险评估技术导则》（</w:t>
      </w:r>
      <w:r>
        <w:rPr>
          <w:rFonts w:cs="Times New Roman" w:hint="eastAsia"/>
          <w:szCs w:val="24"/>
        </w:rPr>
        <w:t>HJ 25.3-2019</w:t>
      </w:r>
      <w:r>
        <w:rPr>
          <w:rFonts w:cs="Times New Roman" w:hint="eastAsia"/>
          <w:szCs w:val="24"/>
        </w:rPr>
        <w:t>）</w:t>
      </w:r>
      <w:r>
        <w:rPr>
          <w:rFonts w:cs="Times New Roman"/>
          <w:szCs w:val="24"/>
        </w:rPr>
        <w:t>。然而，由于治理目标、成本、周期等不同，使得</w:t>
      </w:r>
      <w:r>
        <w:rPr>
          <w:rFonts w:cs="Times New Roman" w:hint="eastAsia"/>
          <w:szCs w:val="24"/>
        </w:rPr>
        <w:t>建设用地的治理路径、技术路线与标准规范</w:t>
      </w:r>
      <w:r>
        <w:rPr>
          <w:rFonts w:cs="Times New Roman"/>
          <w:szCs w:val="24"/>
        </w:rPr>
        <w:t>并不完全适用于</w:t>
      </w:r>
      <w:r>
        <w:rPr>
          <w:rFonts w:cs="Times New Roman" w:hint="eastAsia"/>
          <w:szCs w:val="24"/>
        </w:rPr>
        <w:t>耕地污染风险管控与修复</w:t>
      </w:r>
      <w:r>
        <w:rPr>
          <w:rFonts w:cs="Times New Roman"/>
          <w:szCs w:val="24"/>
        </w:rPr>
        <w:t>。总体来看，由于耕地污染治理起步晚，难度大，治理技术、实施规范、评价指标等仍很缺乏，特别是</w:t>
      </w:r>
      <w:r>
        <w:rPr>
          <w:rFonts w:cs="Times New Roman" w:hint="eastAsia"/>
          <w:szCs w:val="24"/>
        </w:rPr>
        <w:t>结合土壤与农产品双指标的风险评估，</w:t>
      </w:r>
      <w:r>
        <w:rPr>
          <w:rFonts w:cs="Times New Roman"/>
          <w:szCs w:val="24"/>
        </w:rPr>
        <w:t>尚没有明确的可量化的操作性标准或技术性要求，亟需出台规范化的技术文件作为受污染耕地治理修复工作的基本遵循和依据，为落实</w:t>
      </w:r>
      <w:r>
        <w:rPr>
          <w:rFonts w:cs="Times New Roman" w:hint="eastAsia"/>
          <w:szCs w:val="24"/>
        </w:rPr>
        <w:t>土壤污染防治法和“土十条”，</w:t>
      </w:r>
      <w:r>
        <w:rPr>
          <w:rFonts w:cs="Times New Roman"/>
          <w:szCs w:val="24"/>
        </w:rPr>
        <w:t>实现农业</w:t>
      </w:r>
      <w:r>
        <w:rPr>
          <w:rFonts w:cs="Times New Roman" w:hint="eastAsia"/>
          <w:szCs w:val="24"/>
        </w:rPr>
        <w:t>高质量发展</w:t>
      </w:r>
      <w:r>
        <w:rPr>
          <w:rFonts w:cs="Times New Roman"/>
          <w:szCs w:val="24"/>
        </w:rPr>
        <w:t>提供支撑。</w:t>
      </w:r>
    </w:p>
    <w:p w14:paraId="30E9DC21" w14:textId="77777777" w:rsidR="00C15E1D" w:rsidRDefault="00975517">
      <w:pPr>
        <w:ind w:firstLineChars="200" w:firstLine="640"/>
        <w:jc w:val="both"/>
        <w:outlineLvl w:val="0"/>
        <w:rPr>
          <w:rFonts w:ascii="黑体" w:eastAsia="黑体" w:hAnsi="黑体"/>
          <w:szCs w:val="32"/>
        </w:rPr>
      </w:pPr>
      <w:r>
        <w:rPr>
          <w:rFonts w:ascii="黑体" w:eastAsia="黑体" w:hAnsi="黑体" w:hint="eastAsia"/>
          <w:szCs w:val="32"/>
        </w:rPr>
        <w:t>三、国内外相关标准研究情况</w:t>
      </w:r>
    </w:p>
    <w:p w14:paraId="16AEA7F2" w14:textId="77777777" w:rsidR="00C15E1D" w:rsidRDefault="00975517">
      <w:pPr>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（一）国外研究现状</w:t>
      </w:r>
    </w:p>
    <w:p w14:paraId="456DAD1B" w14:textId="77777777" w:rsidR="00C15E1D" w:rsidRDefault="00975517">
      <w:pPr>
        <w:widowControl w:val="0"/>
        <w:spacing w:line="360" w:lineRule="auto"/>
        <w:ind w:firstLineChars="200" w:firstLine="640"/>
        <w:jc w:val="both"/>
      </w:pPr>
      <w:r>
        <w:rPr>
          <w:rFonts w:hint="eastAsia"/>
          <w:szCs w:val="24"/>
        </w:rPr>
        <w:t>发达国家土壤污染风险评价主要聚焦于土壤对人体及生态环境带来的风险，大致分为人体健康风险评估及生态风险评估两大类。早在</w:t>
      </w:r>
      <w:r>
        <w:rPr>
          <w:szCs w:val="24"/>
        </w:rPr>
        <w:t>1996</w:t>
      </w:r>
      <w:r>
        <w:rPr>
          <w:rFonts w:hint="eastAsia"/>
          <w:szCs w:val="24"/>
        </w:rPr>
        <w:t>年，</w:t>
      </w:r>
      <w:r>
        <w:rPr>
          <w:rFonts w:hint="eastAsia"/>
          <w:b/>
          <w:bCs/>
          <w:szCs w:val="24"/>
        </w:rPr>
        <w:t>美国</w:t>
      </w:r>
      <w:r>
        <w:rPr>
          <w:rFonts w:hint="eastAsia"/>
          <w:szCs w:val="24"/>
        </w:rPr>
        <w:t>环保署（</w:t>
      </w:r>
      <w:r>
        <w:rPr>
          <w:szCs w:val="24"/>
        </w:rPr>
        <w:t>The U.S. Environmental Protection Agency, EPA</w:t>
      </w:r>
      <w:r>
        <w:rPr>
          <w:rFonts w:hint="eastAsia"/>
          <w:szCs w:val="24"/>
        </w:rPr>
        <w:t>）针对超级基金场地生态风险评估要求，发布了根据土壤污染物的暴露途径及人体毒理学的土壤污染筛选值计算导则。随后又颁布了《健康风</w:t>
      </w:r>
      <w:r>
        <w:rPr>
          <w:rFonts w:hint="eastAsia"/>
          <w:szCs w:val="24"/>
        </w:rPr>
        <w:lastRenderedPageBreak/>
        <w:t>险评估导则》、《暴露风险评估指南》等技术性指南对人体健康风险评估进行完善。基于健康风险评价，美国又发展了生态风险评价体系，于</w:t>
      </w:r>
      <w:r>
        <w:rPr>
          <w:szCs w:val="24"/>
        </w:rPr>
        <w:t>1998</w:t>
      </w:r>
      <w:r>
        <w:rPr>
          <w:rFonts w:hint="eastAsia"/>
          <w:szCs w:val="24"/>
        </w:rPr>
        <w:t>年颁布了《生态风险评价指南》，随后在</w:t>
      </w:r>
      <w:r>
        <w:rPr>
          <w:szCs w:val="24"/>
        </w:rPr>
        <w:t>2001</w:t>
      </w:r>
      <w:r>
        <w:rPr>
          <w:rFonts w:hint="eastAsia"/>
          <w:szCs w:val="24"/>
        </w:rPr>
        <w:t>年发布了关于土壤筛选值技术导则的补充性文件，完善了不同土地利用方式下的筛选值确定方法。最终在</w:t>
      </w:r>
      <w:r>
        <w:rPr>
          <w:szCs w:val="24"/>
        </w:rPr>
        <w:t>2003</w:t>
      </w:r>
      <w:r>
        <w:rPr>
          <w:rFonts w:hint="eastAsia"/>
          <w:szCs w:val="24"/>
        </w:rPr>
        <w:t>年正式颁布了旨在保护生态环境的土壤生态筛选导则（</w:t>
      </w:r>
      <w:r>
        <w:rPr>
          <w:szCs w:val="24"/>
        </w:rPr>
        <w:t>Ecological-Soil Screening Guidance, Eco-SSG</w:t>
      </w:r>
      <w:r>
        <w:rPr>
          <w:rFonts w:hint="eastAsia"/>
          <w:szCs w:val="24"/>
        </w:rPr>
        <w:t>）。</w:t>
      </w:r>
      <w:r>
        <w:rPr>
          <w:szCs w:val="24"/>
        </w:rPr>
        <w:t>1996</w:t>
      </w:r>
      <w:r>
        <w:rPr>
          <w:rFonts w:hint="eastAsia"/>
          <w:szCs w:val="24"/>
        </w:rPr>
        <w:t>年</w:t>
      </w:r>
      <w:r>
        <w:rPr>
          <w:rFonts w:hint="eastAsia"/>
          <w:b/>
          <w:bCs/>
          <w:szCs w:val="24"/>
        </w:rPr>
        <w:t>加拿大</w:t>
      </w:r>
      <w:r>
        <w:rPr>
          <w:rFonts w:hint="eastAsia"/>
          <w:szCs w:val="24"/>
        </w:rPr>
        <w:t>环境部（</w:t>
      </w:r>
      <w:r>
        <w:rPr>
          <w:szCs w:val="24"/>
        </w:rPr>
        <w:t>Canadian Council of Ministers of the Environment, CCME</w:t>
      </w:r>
      <w:r>
        <w:rPr>
          <w:rFonts w:hint="eastAsia"/>
          <w:szCs w:val="24"/>
        </w:rPr>
        <w:t>）在考虑生态物种安全和人体健康保护的基础上，利用物种敏感性曲线和人体暴露模型分别制定了保护生态和人体健康的土壤质量指导值，并取较低值作为综合性土壤质量指导值，指导当地土壤风险管控。</w:t>
      </w:r>
      <w:r>
        <w:rPr>
          <w:rFonts w:hint="eastAsia"/>
          <w:b/>
          <w:bCs/>
        </w:rPr>
        <w:t>英国</w:t>
      </w:r>
      <w:r>
        <w:rPr>
          <w:rFonts w:hint="eastAsia"/>
        </w:rPr>
        <w:t>环境署</w:t>
      </w:r>
      <w:r>
        <w:t>(Environment Agency, EA)</w:t>
      </w:r>
      <w:r>
        <w:rPr>
          <w:rFonts w:hint="eastAsia"/>
        </w:rPr>
        <w:t>于</w:t>
      </w:r>
      <w:r>
        <w:t>1995</w:t>
      </w:r>
      <w:r>
        <w:rPr>
          <w:rFonts w:hint="eastAsia"/>
        </w:rPr>
        <w:t>年建立以</w:t>
      </w:r>
      <w:r>
        <w:t>“</w:t>
      </w:r>
      <w:r>
        <w:rPr>
          <w:rFonts w:hint="eastAsia"/>
        </w:rPr>
        <w:t>预防为主</w:t>
      </w:r>
      <w:r>
        <w:t>”</w:t>
      </w:r>
      <w:r>
        <w:rPr>
          <w:rFonts w:hint="eastAsia"/>
        </w:rPr>
        <w:t>的风险评价与管理的可持续发展战略，在</w:t>
      </w:r>
      <w:r>
        <w:t>2002</w:t>
      </w:r>
      <w:r>
        <w:rPr>
          <w:rFonts w:hint="eastAsia"/>
        </w:rPr>
        <w:t>年发布了《污染土地管理的模型评估方法》，并在同年制定了基于不同利用类型土地上人体健康风险的土壤污染物指导值，</w:t>
      </w:r>
      <w:r>
        <w:t>2009</w:t>
      </w:r>
      <w:r>
        <w:rPr>
          <w:rFonts w:hint="eastAsia"/>
        </w:rPr>
        <w:t>年英国对《污染土地管理的模型评估方法》进行修订，最终确立了污染土壤生态风险评估的技术方法。</w:t>
      </w:r>
      <w:r>
        <w:rPr>
          <w:rFonts w:hint="eastAsia"/>
          <w:b/>
          <w:bCs/>
        </w:rPr>
        <w:t>日本</w:t>
      </w:r>
      <w:r>
        <w:rPr>
          <w:rFonts w:hint="eastAsia"/>
        </w:rPr>
        <w:t>则在</w:t>
      </w:r>
      <w:r>
        <w:t>2001</w:t>
      </w:r>
      <w:r>
        <w:rPr>
          <w:rFonts w:hint="eastAsia"/>
        </w:rPr>
        <w:t>年通过土壤含量风险评估委员会发布了土壤风险评估办法，并将评估流程分为保护人体健康和保护生态环境两条路径，每个途径可分别通过“直接暴露于受污染土壤”和“其他介质（大气、公共水域、地下水）”进行暴露风险评估。</w:t>
      </w:r>
    </w:p>
    <w:p w14:paraId="1B96B582" w14:textId="77777777" w:rsidR="00C15E1D" w:rsidRDefault="00975517">
      <w:pPr>
        <w:widowControl w:val="0"/>
        <w:spacing w:line="360" w:lineRule="auto"/>
        <w:ind w:firstLineChars="200" w:firstLine="643"/>
        <w:jc w:val="both"/>
        <w:rPr>
          <w:rFonts w:ascii="楷体_GB2312" w:eastAsia="楷体_GB2312" w:hAnsi="楷体_GB2312" w:cs="楷体_GB2312"/>
          <w:b/>
          <w:bCs/>
          <w:szCs w:val="24"/>
        </w:rPr>
      </w:pPr>
      <w:r>
        <w:rPr>
          <w:rFonts w:ascii="楷体_GB2312" w:eastAsia="楷体_GB2312" w:hAnsi="楷体_GB2312" w:cs="楷体_GB2312" w:hint="eastAsia"/>
          <w:b/>
          <w:bCs/>
          <w:szCs w:val="32"/>
        </w:rPr>
        <w:lastRenderedPageBreak/>
        <w:t>（二）国内研究现状（含我国台湾地区）</w:t>
      </w:r>
    </w:p>
    <w:p w14:paraId="7FBE07C0" w14:textId="77777777" w:rsidR="00C15E1D" w:rsidRDefault="00975517">
      <w:pPr>
        <w:widowControl w:val="0"/>
        <w:spacing w:line="360" w:lineRule="auto"/>
        <w:ind w:firstLineChars="200" w:firstLine="640"/>
        <w:jc w:val="both"/>
        <w:rPr>
          <w:szCs w:val="24"/>
        </w:rPr>
      </w:pPr>
      <w:r>
        <w:rPr>
          <w:szCs w:val="24"/>
        </w:rPr>
        <w:t>2006</w:t>
      </w:r>
      <w:r>
        <w:rPr>
          <w:rFonts w:hint="eastAsia"/>
          <w:szCs w:val="24"/>
        </w:rPr>
        <w:t>年，原国家环境保护总局发布《食用农产品产地环境质量评价标准》</w:t>
      </w:r>
      <w:r>
        <w:rPr>
          <w:szCs w:val="24"/>
        </w:rPr>
        <w:t>(HJ 332-2006)</w:t>
      </w:r>
      <w:r>
        <w:rPr>
          <w:rFonts w:hint="eastAsia"/>
          <w:szCs w:val="24"/>
        </w:rPr>
        <w:t>，对农用地土壤环境评价进行了评价指标、监测采样、评价方法等方面的规定。但该标准未对产地风险进行分级，并且未给出建议管理办法。</w:t>
      </w:r>
      <w:r>
        <w:rPr>
          <w:szCs w:val="24"/>
        </w:rPr>
        <w:t>2018</w:t>
      </w:r>
      <w:r>
        <w:rPr>
          <w:rFonts w:hint="eastAsia"/>
          <w:szCs w:val="24"/>
        </w:rPr>
        <w:t>年生态环境部与国家市场监督管理总局联合发布《土壤环境质量</w:t>
      </w:r>
      <w:r>
        <w:rPr>
          <w:szCs w:val="24"/>
        </w:rPr>
        <w:t xml:space="preserve"> </w:t>
      </w:r>
      <w:r>
        <w:rPr>
          <w:rFonts w:hint="eastAsia"/>
          <w:szCs w:val="24"/>
        </w:rPr>
        <w:t>农用地土壤污染风险管控标准（试行）》</w:t>
      </w:r>
      <w:r>
        <w:rPr>
          <w:szCs w:val="24"/>
        </w:rPr>
        <w:t>(GB 15618-2018)</w:t>
      </w:r>
      <w:r>
        <w:rPr>
          <w:rFonts w:hint="eastAsia"/>
          <w:szCs w:val="24"/>
        </w:rPr>
        <w:t>，设置筛选值与管制值，将我国农用地分为三种风险等级，并对三种风险等级的农用地给出了管理建议。该标准为我国保护农用地土壤环境，管控农用地土壤风险，保障农产品质量安全提供了重要依据。同年，生态环境部、自然资源部、农业农村部三部委联合印发《农用地土壤环境风险评价技术规定（试行）》（环办土壤函〔</w:t>
      </w:r>
      <w:r>
        <w:rPr>
          <w:szCs w:val="24"/>
        </w:rPr>
        <w:t>2018</w:t>
      </w:r>
      <w:r>
        <w:rPr>
          <w:rFonts w:hint="eastAsia"/>
          <w:szCs w:val="24"/>
        </w:rPr>
        <w:t>〕</w:t>
      </w:r>
      <w:r>
        <w:rPr>
          <w:szCs w:val="24"/>
        </w:rPr>
        <w:t>1479</w:t>
      </w:r>
      <w:r>
        <w:rPr>
          <w:rFonts w:hint="eastAsia"/>
          <w:szCs w:val="24"/>
        </w:rPr>
        <w:t>号）将农产品安全性、表层土壤重金属活性、表层土壤重金属累积性纳入评价内容。</w:t>
      </w:r>
      <w:r>
        <w:rPr>
          <w:szCs w:val="24"/>
        </w:rPr>
        <w:t>2019</w:t>
      </w:r>
      <w:r>
        <w:rPr>
          <w:rFonts w:hint="eastAsia"/>
          <w:szCs w:val="24"/>
        </w:rPr>
        <w:t>年生态环境部与农业农村部共同组织制定了《农用地土壤环境质量类别划分技术指南》（环办土壤〔</w:t>
      </w:r>
      <w:r>
        <w:rPr>
          <w:szCs w:val="24"/>
        </w:rPr>
        <w:t>2019</w:t>
      </w:r>
      <w:r>
        <w:rPr>
          <w:rFonts w:hint="eastAsia"/>
          <w:szCs w:val="24"/>
        </w:rPr>
        <w:t>〕</w:t>
      </w:r>
      <w:r>
        <w:rPr>
          <w:szCs w:val="24"/>
        </w:rPr>
        <w:t>53</w:t>
      </w:r>
      <w:r>
        <w:rPr>
          <w:rFonts w:hint="eastAsia"/>
          <w:szCs w:val="24"/>
        </w:rPr>
        <w:t>号），对我国农用地土壤环境质量类别划分进行进一步的规范与指导。其中，根据污染源影响范围将调查区域划分为不同的详查单元，并根据详查点位风险评价情况在详查单元的基础上进一步划分评价单元，判定评价单元类别，由此完成评价由点转向面。</w:t>
      </w:r>
    </w:p>
    <w:p w14:paraId="383C548D" w14:textId="77777777" w:rsidR="00C15E1D" w:rsidRDefault="00975517">
      <w:pPr>
        <w:widowControl w:val="0"/>
        <w:spacing w:line="360" w:lineRule="auto"/>
        <w:ind w:firstLineChars="200" w:firstLine="640"/>
        <w:jc w:val="both"/>
        <w:rPr>
          <w:szCs w:val="24"/>
        </w:rPr>
      </w:pPr>
      <w:r>
        <w:rPr>
          <w:rFonts w:hint="eastAsia"/>
          <w:szCs w:val="24"/>
        </w:rPr>
        <w:t>除此之外，各省也针对耕地土壤污染出台相应的地方标</w:t>
      </w:r>
      <w:r>
        <w:rPr>
          <w:rFonts w:hint="eastAsia"/>
          <w:szCs w:val="24"/>
        </w:rPr>
        <w:lastRenderedPageBreak/>
        <w:t>准与团体标准。</w:t>
      </w:r>
      <w:r>
        <w:rPr>
          <w:szCs w:val="24"/>
        </w:rPr>
        <w:t>2019</w:t>
      </w:r>
      <w:r>
        <w:rPr>
          <w:rFonts w:hint="eastAsia"/>
          <w:szCs w:val="24"/>
        </w:rPr>
        <w:t>年浙江省生态与环境修复技术协会发布团体标准《农用地土壤污染风险评估技术指南》</w:t>
      </w:r>
      <w:r>
        <w:rPr>
          <w:szCs w:val="24"/>
        </w:rPr>
        <w:t>(T/EERT 001-2019)</w:t>
      </w:r>
      <w:r>
        <w:rPr>
          <w:rFonts w:hint="eastAsia"/>
          <w:szCs w:val="24"/>
        </w:rPr>
        <w:t>，基于毒理学数据，利用物种敏感型分布曲线，获得相关土壤阈值，并进行风险判定。</w:t>
      </w:r>
      <w:r>
        <w:rPr>
          <w:szCs w:val="24"/>
        </w:rPr>
        <w:t>2020</w:t>
      </w:r>
      <w:r>
        <w:rPr>
          <w:rFonts w:hint="eastAsia"/>
          <w:szCs w:val="24"/>
        </w:rPr>
        <w:t>年河南省生态环境厅河南省市场监督管理局与联合发布地方标准《农用地土壤污染状况调查技术规范》</w:t>
      </w:r>
      <w:r>
        <w:rPr>
          <w:szCs w:val="24"/>
        </w:rPr>
        <w:t>(DB41/T 1948-2020)</w:t>
      </w:r>
      <w:r>
        <w:rPr>
          <w:rFonts w:hint="eastAsia"/>
          <w:szCs w:val="24"/>
        </w:rPr>
        <w:t>，为合理管控耕地土壤风险提供保障。在我国台湾地区，行政院环境保护署发布了《土壤及地下水污染场址健康风险评估方法》以及《健康风险评估技术规范》，其主要是根据人体暴露在环境中受到危害的程度进行风险评估，分为第一层次健康风险评估与第二层次健康风险评估，包括危害鉴定识别、剂量反应评估、暴露量评估等内容。</w:t>
      </w:r>
    </w:p>
    <w:p w14:paraId="7D846C2D" w14:textId="77777777" w:rsidR="00C15E1D" w:rsidRDefault="00975517">
      <w:pPr>
        <w:widowControl w:val="0"/>
        <w:spacing w:line="360" w:lineRule="auto"/>
        <w:ind w:firstLineChars="200" w:firstLine="640"/>
        <w:jc w:val="both"/>
        <w:rPr>
          <w:szCs w:val="24"/>
        </w:rPr>
      </w:pPr>
      <w:r>
        <w:rPr>
          <w:rFonts w:hint="eastAsia"/>
          <w:szCs w:val="24"/>
        </w:rPr>
        <w:t>随着土壤污染防治法的实施，土壤污染问题逐渐引起社会广泛关注，特别是由于土壤污染导致的农产品污染，若不进行合理管控，势必会引发社会舆论。目前已有众多学者围绕耕地土壤风险评估与管控进行了一系列研究，但是这些研究大多只进行了土壤风险评估，未考虑农产品风险，且仅进行点位风险评估，区域风险未能得到精确反映。有研究者使用插值法将评估结果由点转向面，但土壤污染大多来源于人为因素，并不满足插值法使用的基本要求。</w:t>
      </w:r>
    </w:p>
    <w:p w14:paraId="5C36FB13" w14:textId="77777777" w:rsidR="00C15E1D" w:rsidRDefault="00975517">
      <w:pPr>
        <w:ind w:firstLineChars="200" w:firstLine="640"/>
        <w:jc w:val="both"/>
        <w:outlineLvl w:val="0"/>
        <w:rPr>
          <w:rFonts w:ascii="黑体" w:eastAsia="黑体" w:hAnsi="黑体"/>
          <w:szCs w:val="32"/>
        </w:rPr>
      </w:pPr>
      <w:r>
        <w:rPr>
          <w:rFonts w:ascii="黑体" w:eastAsia="黑体" w:hAnsi="黑体" w:hint="eastAsia"/>
          <w:szCs w:val="32"/>
        </w:rPr>
        <w:t>四、标准编制原则</w:t>
      </w:r>
    </w:p>
    <w:p w14:paraId="444AE424" w14:textId="77777777" w:rsidR="00C15E1D" w:rsidRDefault="00975517">
      <w:pPr>
        <w:ind w:firstLineChars="200" w:firstLine="643"/>
        <w:jc w:val="both"/>
        <w:rPr>
          <w:rFonts w:cs="Times New Roman"/>
          <w:szCs w:val="32"/>
        </w:rPr>
      </w:pPr>
      <w:r>
        <w:rPr>
          <w:rFonts w:ascii="楷体_GB2312" w:eastAsia="楷体_GB2312" w:hAnsi="楷体_GB2312" w:hint="eastAsia"/>
          <w:b/>
          <w:bCs/>
          <w:szCs w:val="32"/>
        </w:rPr>
        <w:lastRenderedPageBreak/>
        <w:t>（一）充分继承已有工作基础与数据。</w:t>
      </w:r>
      <w:r>
        <w:rPr>
          <w:rFonts w:cs="Times New Roman"/>
          <w:szCs w:val="32"/>
        </w:rPr>
        <w:t>2016-2019</w:t>
      </w:r>
      <w:r>
        <w:rPr>
          <w:rFonts w:cs="Times New Roman"/>
          <w:szCs w:val="32"/>
        </w:rPr>
        <w:t>年，</w:t>
      </w:r>
      <w:r>
        <w:rPr>
          <w:rFonts w:cs="Times New Roman" w:hint="eastAsia"/>
          <w:szCs w:val="32"/>
        </w:rPr>
        <w:t>生态环境部会同农业农村部</w:t>
      </w:r>
      <w:r>
        <w:rPr>
          <w:rFonts w:cs="Times New Roman"/>
          <w:szCs w:val="32"/>
        </w:rPr>
        <w:t>开展了</w:t>
      </w:r>
      <w:r>
        <w:rPr>
          <w:rFonts w:cs="Times New Roman" w:hint="eastAsia"/>
          <w:szCs w:val="32"/>
        </w:rPr>
        <w:t>全国农用地土壤污染状况详查。详查以耕地为重点，兼顾园地和牧草地，基本摸清了我国耕地重金属污染程度及分布特征。农业部门根据详查确定的评价单元和分类清单，初步实现受污染耕地污染风险精准管控。本标准所描述的食用农产品产地重金属风险评估，充分利用以往历史性调查数据，在详查划分的评价单元基础上，进一步精细化评估区域土壤与农产品整体风险。</w:t>
      </w:r>
    </w:p>
    <w:p w14:paraId="081F0390" w14:textId="77777777" w:rsidR="00C15E1D" w:rsidRDefault="00975517">
      <w:pPr>
        <w:ind w:firstLineChars="200" w:firstLine="643"/>
        <w:rPr>
          <w:rFonts w:ascii="宋体" w:hAnsi="宋体" w:cs="宋体"/>
          <w:szCs w:val="32"/>
        </w:rPr>
      </w:pPr>
      <w:r>
        <w:rPr>
          <w:rFonts w:ascii="楷体_GB2312" w:eastAsia="楷体_GB2312" w:hAnsi="楷体_GB2312" w:hint="eastAsia"/>
          <w:b/>
          <w:bCs/>
          <w:szCs w:val="32"/>
        </w:rPr>
        <w:t>（二）充分保障农产品质量安全。</w:t>
      </w:r>
      <w:r>
        <w:rPr>
          <w:rFonts w:ascii="宋体" w:hAnsi="宋体" w:cs="宋体" w:hint="eastAsia"/>
          <w:szCs w:val="32"/>
        </w:rPr>
        <w:t>食用农产品产地重金属污染治理是目标导向——是否需要治理、怎么治理、治理后效果如何，主要是看农产品质量安全是否得到保障，是否能让老百姓吃的放心。在风险评估指标上，标准编制组考虑抓主要矛盾、矛盾的主要方面，将农产品安全状况作为风险评估的主要指标，兼顾土壤环境质量，通过补充调查获取充足的土壤-农产品重金属含量的一一对应数据，开展土壤-农产品重金属协同风险评价，为下一步风险精准管控与修复提供依据。</w:t>
      </w:r>
    </w:p>
    <w:p w14:paraId="28D84D8E" w14:textId="77777777" w:rsidR="00C15E1D" w:rsidRDefault="00975517">
      <w:pPr>
        <w:ind w:firstLineChars="200" w:firstLine="643"/>
        <w:jc w:val="both"/>
        <w:rPr>
          <w:rFonts w:cs="Times New Roman"/>
          <w:szCs w:val="32"/>
        </w:rPr>
      </w:pPr>
      <w:r>
        <w:rPr>
          <w:rFonts w:ascii="楷体_GB2312" w:eastAsia="楷体_GB2312" w:hAnsi="楷体_GB2312" w:hint="eastAsia"/>
          <w:b/>
          <w:bCs/>
          <w:szCs w:val="32"/>
        </w:rPr>
        <w:t>（三）充分考虑实际可操作性。</w:t>
      </w:r>
      <w:r>
        <w:rPr>
          <w:rFonts w:ascii="宋体" w:hAnsi="宋体" w:cs="宋体" w:hint="eastAsia"/>
          <w:szCs w:val="32"/>
        </w:rPr>
        <w:t>本标准主要执行者是基层农业农村、生态环境部门或第三方技术单位，在实践中，风险评估是一项具体工作，不是科学研究，也不是监测评价，不可能面面俱到，在评估指标设计上，风险评估所针对的是农产品超标的现实风险，考虑到时间、资金、涉及面等因素，</w:t>
      </w:r>
      <w:r>
        <w:rPr>
          <w:rFonts w:ascii="宋体" w:hAnsi="宋体" w:cs="宋体" w:hint="eastAsia"/>
          <w:szCs w:val="32"/>
        </w:rPr>
        <w:lastRenderedPageBreak/>
        <w:t>评估</w:t>
      </w:r>
      <w:r>
        <w:rPr>
          <w:rFonts w:cs="Times New Roman"/>
          <w:szCs w:val="32"/>
        </w:rPr>
        <w:t>程序和方法不能太过于繁杂，应</w:t>
      </w:r>
      <w:r>
        <w:rPr>
          <w:rFonts w:cs="Times New Roman" w:hint="eastAsia"/>
          <w:szCs w:val="32"/>
        </w:rPr>
        <w:t>充分考虑实际情况，在保证科学性和客观性的基础上，</w:t>
      </w:r>
      <w:r>
        <w:rPr>
          <w:rFonts w:cs="Times New Roman"/>
          <w:szCs w:val="32"/>
        </w:rPr>
        <w:t>具有广泛的可接受性和可操作性，评价结果的表征方式能清楚的为农用地土壤环境管理提供支撑。</w:t>
      </w:r>
    </w:p>
    <w:p w14:paraId="3D24F8A0" w14:textId="62D0CD7F" w:rsidR="00C15E1D" w:rsidRDefault="0099623A">
      <w:pPr>
        <w:ind w:firstLineChars="200" w:firstLine="640"/>
        <w:jc w:val="both"/>
        <w:outlineLvl w:val="0"/>
        <w:rPr>
          <w:rFonts w:ascii="黑体" w:eastAsia="黑体" w:hAnsi="黑体"/>
          <w:szCs w:val="32"/>
        </w:rPr>
      </w:pPr>
      <w:r>
        <w:rPr>
          <w:rFonts w:ascii="黑体" w:eastAsia="黑体" w:hAnsi="黑体" w:hint="eastAsia"/>
          <w:szCs w:val="32"/>
        </w:rPr>
        <w:t>五</w:t>
      </w:r>
      <w:r w:rsidR="00975517">
        <w:rPr>
          <w:rFonts w:ascii="黑体" w:eastAsia="黑体" w:hAnsi="黑体" w:hint="eastAsia"/>
          <w:szCs w:val="32"/>
        </w:rPr>
        <w:t>、标准关键技术问题及编制依据</w:t>
      </w:r>
    </w:p>
    <w:p w14:paraId="4E62D6E9" w14:textId="77777777" w:rsidR="00C15E1D" w:rsidRDefault="00975517">
      <w:pPr>
        <w:ind w:firstLineChars="200" w:firstLine="643"/>
        <w:jc w:val="both"/>
        <w:rPr>
          <w:rFonts w:ascii="宋体" w:hAnsi="宋体" w:cs="宋体"/>
          <w:szCs w:val="32"/>
        </w:rPr>
      </w:pPr>
      <w:r>
        <w:rPr>
          <w:rFonts w:ascii="楷体_GB2312" w:eastAsia="楷体_GB2312" w:hAnsi="楷体_GB2312" w:hint="eastAsia"/>
          <w:b/>
          <w:bCs/>
          <w:szCs w:val="32"/>
        </w:rPr>
        <w:t>（一）关于风险评估与土壤环境质量分类的关系。</w:t>
      </w:r>
      <w:r>
        <w:rPr>
          <w:rFonts w:ascii="宋体" w:hAnsi="宋体" w:cs="宋体" w:hint="eastAsia"/>
          <w:szCs w:val="32"/>
        </w:rPr>
        <w:t>农用地土壤环境质量分类是一种国家行为，是对农用地（以耕地为主）进行登记造册，形成国家认可的耕地分类清单，作为土壤风险管控的“花名册”，是一种大的框架性的“粗分”。而风险评估是一种个性化行为，是在土壤环境质量类别划分的基础上，再具体研判某一个区域的土壤与农产品重金属的超标风险，为下一步风险管控与修复提供依据。每一个要评估的区域的重金属风险水平并不一定与该区域的耕地类别挂钩，例如某块优先保护类的耕地，可能重金属风险达到中风险（土壤不超标-农产品超标的情形）；某严格管控类的耕地，可能重金属风险并不太高（土壤超管制值-农产品不超标的情形）。</w:t>
      </w:r>
    </w:p>
    <w:p w14:paraId="40DB78BE" w14:textId="77777777" w:rsidR="00C15E1D" w:rsidRDefault="00975517">
      <w:pPr>
        <w:ind w:firstLineChars="200" w:firstLine="643"/>
        <w:rPr>
          <w:rFonts w:ascii="宋体" w:hAnsi="宋体"/>
          <w:bCs/>
          <w:szCs w:val="32"/>
        </w:rPr>
      </w:pPr>
      <w:r>
        <w:rPr>
          <w:rFonts w:ascii="楷体_GB2312" w:eastAsia="楷体_GB2312" w:hAnsi="楷体_GB2312" w:hint="eastAsia"/>
          <w:b/>
          <w:bCs/>
          <w:szCs w:val="32"/>
        </w:rPr>
        <w:t>（二）关于布点调查农产品选取。</w:t>
      </w:r>
      <w:r>
        <w:rPr>
          <w:rFonts w:ascii="宋体" w:hAnsi="宋体" w:hint="eastAsia"/>
          <w:bCs/>
          <w:szCs w:val="32"/>
        </w:rPr>
        <w:t>食用农产品种类很多，且有间、套作及轮作等多种种植方式，品种变换也快，还涉及到单季、多季等因素，导致在调查时，如何选择代表性的农产品一直是个难点。编制组在此问题上，坚持科学性、可操作性相统一的原则，聚焦主要矛盾，抓大放小，充分考虑</w:t>
      </w:r>
      <w:r>
        <w:rPr>
          <w:rFonts w:ascii="宋体" w:hAnsi="宋体" w:hint="eastAsia"/>
          <w:bCs/>
          <w:szCs w:val="32"/>
        </w:rPr>
        <w:lastRenderedPageBreak/>
        <w:t>实际情况，规定只选取一季农产品作为调查对象，但要求是对重金属较为敏感的主栽作物。对重金属敏感，指的是对重金属富集能力较强，超标风险较高；主栽作物，指的是当地主要的栽培作物，如水稻产地上，重点关注水稻，小麦产地上，重点关注小麦，设施菜地上，重点关注蔬菜。对于像稻麦轮作但小麦超标严重，或粮油轮作但油菜超标严重等少数特殊情形，由评估实施单位自主根据实际情况、专家意见和甲方要求，实事求是选择调查农产品种类，给予一定判断空间。</w:t>
      </w:r>
    </w:p>
    <w:p w14:paraId="3EB3F188" w14:textId="77777777" w:rsidR="00C15E1D" w:rsidRDefault="00975517">
      <w:pPr>
        <w:ind w:firstLineChars="200" w:firstLine="643"/>
        <w:rPr>
          <w:rFonts w:ascii="楷体_GB2312" w:eastAsia="楷体_GB2312" w:hAnsi="楷体_GB2312"/>
          <w:b/>
          <w:bCs/>
          <w:szCs w:val="32"/>
        </w:rPr>
      </w:pPr>
      <w:r>
        <w:rPr>
          <w:rFonts w:ascii="楷体_GB2312" w:eastAsia="楷体_GB2312" w:hAnsi="楷体_GB2312" w:hint="eastAsia"/>
          <w:b/>
          <w:bCs/>
          <w:szCs w:val="32"/>
        </w:rPr>
        <w:t>（三）关于风险评估点位布点密度。</w:t>
      </w:r>
    </w:p>
    <w:p w14:paraId="1845C673" w14:textId="77777777" w:rsidR="00C15E1D" w:rsidRDefault="00975517">
      <w:pPr>
        <w:widowControl w:val="0"/>
        <w:spacing w:line="360" w:lineRule="auto"/>
        <w:ind w:firstLineChars="200" w:firstLine="640"/>
        <w:jc w:val="both"/>
        <w:rPr>
          <w:rFonts w:cs="Times New Roman"/>
          <w:szCs w:val="32"/>
        </w:rPr>
      </w:pPr>
      <w:r>
        <w:rPr>
          <w:rFonts w:cs="Times New Roman"/>
          <w:szCs w:val="32"/>
        </w:rPr>
        <w:t>耕地土壤中无论是土壤还是农作物中污染物的分布均不清楚，难以通过均方差、偏差（相对偏差）或变异系数等总体（样本）参数确定污染调查监测布点数量（密度）。我们对相关标准、历史性大规模调查监测工作中关于耕地污染调查监测的布点密度情况进行了搜集和梳理。国外在场地污染监测上对点位布设密度有一定要求，但在耕地污染监测上尚无明确的规定。国内针对农田土壤或耕地的标准及土壤污染调查监测工作中针对污染监测点位布设数量（密度）的规定见表</w:t>
      </w:r>
      <w:r>
        <w:rPr>
          <w:rFonts w:cs="Times New Roman"/>
          <w:szCs w:val="32"/>
        </w:rPr>
        <w:t>1</w:t>
      </w:r>
      <w:r>
        <w:rPr>
          <w:rFonts w:cs="Times New Roman"/>
          <w:szCs w:val="32"/>
        </w:rPr>
        <w:t>。</w:t>
      </w:r>
    </w:p>
    <w:p w14:paraId="47DAEDAA" w14:textId="77777777" w:rsidR="00C15E1D" w:rsidRPr="0099623A" w:rsidRDefault="00975517">
      <w:pPr>
        <w:widowControl w:val="0"/>
        <w:spacing w:line="360" w:lineRule="auto"/>
        <w:jc w:val="center"/>
        <w:rPr>
          <w:rFonts w:ascii="黑体" w:eastAsia="黑体" w:hAnsi="黑体" w:cs="Times New Roman"/>
          <w:bCs/>
          <w:sz w:val="21"/>
          <w:szCs w:val="21"/>
        </w:rPr>
      </w:pPr>
      <w:r w:rsidRPr="0099623A">
        <w:rPr>
          <w:rFonts w:ascii="黑体" w:eastAsia="黑体" w:hAnsi="黑体" w:cs="Times New Roman" w:hint="eastAsia"/>
          <w:bCs/>
          <w:sz w:val="21"/>
          <w:szCs w:val="21"/>
        </w:rPr>
        <w:t>表</w:t>
      </w:r>
      <w:r w:rsidRPr="0099623A">
        <w:rPr>
          <w:rFonts w:ascii="黑体" w:eastAsia="黑体" w:hAnsi="黑体" w:cs="Times New Roman"/>
          <w:bCs/>
          <w:sz w:val="21"/>
          <w:szCs w:val="21"/>
        </w:rPr>
        <w:t xml:space="preserve">1  </w:t>
      </w:r>
      <w:r w:rsidRPr="0099623A">
        <w:rPr>
          <w:rFonts w:ascii="黑体" w:eastAsia="黑体" w:hAnsi="黑体" w:cs="Times New Roman" w:hint="eastAsia"/>
          <w:bCs/>
          <w:sz w:val="21"/>
          <w:szCs w:val="21"/>
        </w:rPr>
        <w:t>历史性调查或相关标准规范中布点密度一览表</w:t>
      </w:r>
    </w:p>
    <w:tbl>
      <w:tblPr>
        <w:tblStyle w:val="ab"/>
        <w:tblW w:w="5138" w:type="pct"/>
        <w:tblLook w:val="04A0" w:firstRow="1" w:lastRow="0" w:firstColumn="1" w:lastColumn="0" w:noHBand="0" w:noVBand="1"/>
      </w:tblPr>
      <w:tblGrid>
        <w:gridCol w:w="2463"/>
        <w:gridCol w:w="2364"/>
        <w:gridCol w:w="3930"/>
      </w:tblGrid>
      <w:tr w:rsidR="00C15E1D" w:rsidRPr="0099623A" w14:paraId="65405593" w14:textId="77777777">
        <w:trPr>
          <w:tblHeader/>
        </w:trPr>
        <w:tc>
          <w:tcPr>
            <w:tcW w:w="1406" w:type="pct"/>
            <w:vAlign w:val="center"/>
          </w:tcPr>
          <w:p w14:paraId="34DC5BF7" w14:textId="77777777" w:rsidR="00C15E1D" w:rsidRPr="0099623A" w:rsidRDefault="00975517">
            <w:pPr>
              <w:widowControl w:val="0"/>
              <w:spacing w:line="276" w:lineRule="auto"/>
              <w:jc w:val="both"/>
              <w:rPr>
                <w:rFonts w:cs="Times New Roman"/>
                <w:b/>
                <w:sz w:val="21"/>
                <w:szCs w:val="21"/>
              </w:rPr>
            </w:pPr>
            <w:r w:rsidRPr="0099623A">
              <w:rPr>
                <w:rFonts w:cs="Times New Roman"/>
                <w:b/>
                <w:sz w:val="21"/>
                <w:szCs w:val="21"/>
              </w:rPr>
              <w:t>调查点位布设密度</w:t>
            </w:r>
          </w:p>
        </w:tc>
        <w:tc>
          <w:tcPr>
            <w:tcW w:w="1350" w:type="pct"/>
            <w:vAlign w:val="center"/>
          </w:tcPr>
          <w:p w14:paraId="04C0D7F8" w14:textId="77777777" w:rsidR="00C15E1D" w:rsidRPr="0099623A" w:rsidRDefault="00975517">
            <w:pPr>
              <w:widowControl w:val="0"/>
              <w:spacing w:line="276" w:lineRule="auto"/>
              <w:jc w:val="both"/>
              <w:rPr>
                <w:rFonts w:cs="Times New Roman"/>
                <w:b/>
                <w:sz w:val="21"/>
                <w:szCs w:val="21"/>
              </w:rPr>
            </w:pPr>
            <w:r w:rsidRPr="0099623A">
              <w:rPr>
                <w:rFonts w:cs="Times New Roman"/>
                <w:b/>
                <w:sz w:val="21"/>
                <w:szCs w:val="21"/>
              </w:rPr>
              <w:t>事项</w:t>
            </w:r>
          </w:p>
        </w:tc>
        <w:tc>
          <w:tcPr>
            <w:tcW w:w="2244" w:type="pct"/>
            <w:vAlign w:val="center"/>
          </w:tcPr>
          <w:p w14:paraId="7529F246" w14:textId="77777777" w:rsidR="00C15E1D" w:rsidRPr="0099623A" w:rsidRDefault="00975517">
            <w:pPr>
              <w:widowControl w:val="0"/>
              <w:spacing w:line="276" w:lineRule="auto"/>
              <w:jc w:val="both"/>
              <w:rPr>
                <w:rFonts w:cs="Times New Roman"/>
                <w:b/>
                <w:sz w:val="21"/>
                <w:szCs w:val="21"/>
              </w:rPr>
            </w:pPr>
            <w:r w:rsidRPr="0099623A">
              <w:rPr>
                <w:rFonts w:cs="Times New Roman"/>
                <w:b/>
                <w:sz w:val="21"/>
                <w:szCs w:val="21"/>
              </w:rPr>
              <w:t>标准或项目</w:t>
            </w:r>
          </w:p>
        </w:tc>
      </w:tr>
      <w:tr w:rsidR="00C15E1D" w:rsidRPr="0099623A" w14:paraId="720EB82C" w14:textId="77777777">
        <w:tc>
          <w:tcPr>
            <w:tcW w:w="1406" w:type="pct"/>
            <w:vAlign w:val="center"/>
          </w:tcPr>
          <w:p w14:paraId="701FC2D7"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150亩/点</w:t>
            </w:r>
          </w:p>
        </w:tc>
        <w:tc>
          <w:tcPr>
            <w:tcW w:w="1350" w:type="pct"/>
            <w:vAlign w:val="center"/>
          </w:tcPr>
          <w:p w14:paraId="0D82952A"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重点污染地区点位布设</w:t>
            </w:r>
          </w:p>
        </w:tc>
        <w:tc>
          <w:tcPr>
            <w:tcW w:w="2244" w:type="pct"/>
            <w:vAlign w:val="center"/>
          </w:tcPr>
          <w:p w14:paraId="65A124D4"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全国农产品产地土壤重金属污染普查（2012-2016年）</w:t>
            </w:r>
          </w:p>
        </w:tc>
      </w:tr>
      <w:tr w:rsidR="00C15E1D" w:rsidRPr="0099623A" w14:paraId="3E0C9595" w14:textId="77777777">
        <w:tc>
          <w:tcPr>
            <w:tcW w:w="1406" w:type="pct"/>
            <w:vAlign w:val="center"/>
          </w:tcPr>
          <w:p w14:paraId="39BC640D"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土壤：重度超标点位超标</w:t>
            </w:r>
            <w:r w:rsidRPr="0099623A">
              <w:rPr>
                <w:rFonts w:cs="Times New Roman"/>
                <w:sz w:val="21"/>
                <w:szCs w:val="21"/>
              </w:rPr>
              <w:lastRenderedPageBreak/>
              <w:t>区500米×500米网格（375亩/点），中度和轻度点位超标区1000米×1000米网格（1500亩/点），</w:t>
            </w:r>
          </w:p>
        </w:tc>
        <w:tc>
          <w:tcPr>
            <w:tcW w:w="1350" w:type="pct"/>
            <w:vMerge w:val="restart"/>
            <w:vAlign w:val="center"/>
          </w:tcPr>
          <w:p w14:paraId="0B570823"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lastRenderedPageBreak/>
              <w:t>在已发现土壤污染物超</w:t>
            </w:r>
            <w:r w:rsidRPr="0099623A">
              <w:rPr>
                <w:rFonts w:cs="Times New Roman"/>
                <w:sz w:val="21"/>
                <w:szCs w:val="21"/>
              </w:rPr>
              <w:lastRenderedPageBreak/>
              <w:t>标区域布点</w:t>
            </w:r>
          </w:p>
        </w:tc>
        <w:tc>
          <w:tcPr>
            <w:tcW w:w="2244" w:type="pct"/>
            <w:vMerge w:val="restart"/>
            <w:vAlign w:val="center"/>
          </w:tcPr>
          <w:p w14:paraId="24DFF026"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lastRenderedPageBreak/>
              <w:t>全国土壤污染状况详查（2016-2019年）</w:t>
            </w:r>
          </w:p>
        </w:tc>
      </w:tr>
      <w:tr w:rsidR="00C15E1D" w:rsidRPr="0099623A" w14:paraId="002D83F6" w14:textId="77777777">
        <w:tc>
          <w:tcPr>
            <w:tcW w:w="1406" w:type="pct"/>
            <w:vAlign w:val="center"/>
          </w:tcPr>
          <w:p w14:paraId="03D33C51"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农产品：1000米×1000米网格（1500亩/点）。</w:t>
            </w:r>
          </w:p>
        </w:tc>
        <w:tc>
          <w:tcPr>
            <w:tcW w:w="1350" w:type="pct"/>
            <w:vMerge/>
            <w:vAlign w:val="center"/>
          </w:tcPr>
          <w:p w14:paraId="59BD91F7" w14:textId="77777777" w:rsidR="00C15E1D" w:rsidRPr="0099623A" w:rsidRDefault="00C15E1D">
            <w:pPr>
              <w:widowControl w:val="0"/>
              <w:spacing w:line="276" w:lineRule="auto"/>
              <w:jc w:val="both"/>
              <w:rPr>
                <w:rFonts w:cs="Times New Roman"/>
                <w:sz w:val="21"/>
                <w:szCs w:val="21"/>
              </w:rPr>
            </w:pPr>
          </w:p>
        </w:tc>
        <w:tc>
          <w:tcPr>
            <w:tcW w:w="2244" w:type="pct"/>
            <w:vMerge/>
            <w:vAlign w:val="center"/>
          </w:tcPr>
          <w:p w14:paraId="5895A6D1" w14:textId="77777777" w:rsidR="00C15E1D" w:rsidRPr="0099623A" w:rsidRDefault="00C15E1D">
            <w:pPr>
              <w:widowControl w:val="0"/>
              <w:spacing w:line="276" w:lineRule="auto"/>
              <w:jc w:val="both"/>
              <w:rPr>
                <w:rFonts w:cs="Times New Roman"/>
                <w:sz w:val="21"/>
                <w:szCs w:val="21"/>
              </w:rPr>
            </w:pPr>
          </w:p>
        </w:tc>
      </w:tr>
      <w:tr w:rsidR="00C15E1D" w:rsidRPr="0099623A" w14:paraId="138FC4F1" w14:textId="77777777">
        <w:tc>
          <w:tcPr>
            <w:tcW w:w="1406" w:type="pct"/>
            <w:vAlign w:val="center"/>
          </w:tcPr>
          <w:p w14:paraId="6D2C1449"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150-1500亩/点</w:t>
            </w:r>
          </w:p>
        </w:tc>
        <w:tc>
          <w:tcPr>
            <w:tcW w:w="1350" w:type="pct"/>
            <w:vAlign w:val="center"/>
          </w:tcPr>
          <w:p w14:paraId="4F131CE5"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安全利用类耕地上布点采集食用类农产品</w:t>
            </w:r>
          </w:p>
        </w:tc>
        <w:tc>
          <w:tcPr>
            <w:tcW w:w="2244" w:type="pct"/>
            <w:vAlign w:val="center"/>
          </w:tcPr>
          <w:p w14:paraId="2B486678"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全国受污染耕地安全利用率核算（2020年）</w:t>
            </w:r>
          </w:p>
        </w:tc>
      </w:tr>
      <w:tr w:rsidR="00C15E1D" w:rsidRPr="0099623A" w14:paraId="00F83E37" w14:textId="77777777">
        <w:tc>
          <w:tcPr>
            <w:tcW w:w="1406" w:type="pct"/>
            <w:vAlign w:val="center"/>
          </w:tcPr>
          <w:p w14:paraId="0D82FFA3"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50-150亩/点</w:t>
            </w:r>
          </w:p>
        </w:tc>
        <w:tc>
          <w:tcPr>
            <w:tcW w:w="1350" w:type="pct"/>
            <w:vAlign w:val="center"/>
          </w:tcPr>
          <w:p w14:paraId="7595B886"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在已发现农产品超标区域布点</w:t>
            </w:r>
          </w:p>
        </w:tc>
        <w:tc>
          <w:tcPr>
            <w:tcW w:w="2244" w:type="pct"/>
            <w:vAlign w:val="center"/>
          </w:tcPr>
          <w:p w14:paraId="0BD4E23F"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湖南重金属污染耕地修复及农作物种植结构调整试点（2014-2020年）</w:t>
            </w:r>
          </w:p>
        </w:tc>
      </w:tr>
      <w:tr w:rsidR="00C15E1D" w:rsidRPr="0099623A" w14:paraId="72ACC119" w14:textId="77777777">
        <w:tc>
          <w:tcPr>
            <w:tcW w:w="1406" w:type="pct"/>
            <w:vAlign w:val="center"/>
          </w:tcPr>
          <w:p w14:paraId="4E7787B7"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约100-150亩/点</w:t>
            </w:r>
          </w:p>
        </w:tc>
        <w:tc>
          <w:tcPr>
            <w:tcW w:w="1350" w:type="pct"/>
            <w:vAlign w:val="center"/>
          </w:tcPr>
          <w:p w14:paraId="5A9E591D"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在全国农用地详查基础上做进一步加密调查</w:t>
            </w:r>
          </w:p>
        </w:tc>
        <w:tc>
          <w:tcPr>
            <w:tcW w:w="2244" w:type="pct"/>
            <w:vAlign w:val="center"/>
          </w:tcPr>
          <w:p w14:paraId="07CD867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湖南耕地重金属污染加密调查（2018-2020年）</w:t>
            </w:r>
          </w:p>
        </w:tc>
      </w:tr>
      <w:tr w:rsidR="00C15E1D" w:rsidRPr="0099623A" w14:paraId="72C80FE4" w14:textId="77777777">
        <w:tc>
          <w:tcPr>
            <w:tcW w:w="1406" w:type="pct"/>
            <w:vAlign w:val="center"/>
          </w:tcPr>
          <w:p w14:paraId="6878C08F"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15-750亩/点</w:t>
            </w:r>
          </w:p>
        </w:tc>
        <w:tc>
          <w:tcPr>
            <w:tcW w:w="1350" w:type="pct"/>
            <w:vAlign w:val="center"/>
          </w:tcPr>
          <w:p w14:paraId="7B801E1D"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污染事故调查</w:t>
            </w:r>
          </w:p>
        </w:tc>
        <w:tc>
          <w:tcPr>
            <w:tcW w:w="2244" w:type="pct"/>
            <w:vMerge w:val="restart"/>
            <w:vAlign w:val="center"/>
          </w:tcPr>
          <w:p w14:paraId="7D103B83"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NY/T 395农田土壤环境质量监测技术规范</w:t>
            </w:r>
          </w:p>
        </w:tc>
      </w:tr>
      <w:tr w:rsidR="00C15E1D" w:rsidRPr="0099623A" w14:paraId="7D5460E1" w14:textId="77777777">
        <w:tc>
          <w:tcPr>
            <w:tcW w:w="1406" w:type="pct"/>
            <w:vAlign w:val="center"/>
          </w:tcPr>
          <w:p w14:paraId="00168F0D"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150-1500亩/点</w:t>
            </w:r>
          </w:p>
        </w:tc>
        <w:tc>
          <w:tcPr>
            <w:tcW w:w="1350" w:type="pct"/>
            <w:vAlign w:val="center"/>
          </w:tcPr>
          <w:p w14:paraId="7C7A8484"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禁产区划定</w:t>
            </w:r>
          </w:p>
        </w:tc>
        <w:tc>
          <w:tcPr>
            <w:tcW w:w="2244" w:type="pct"/>
            <w:vMerge/>
            <w:vAlign w:val="center"/>
          </w:tcPr>
          <w:p w14:paraId="033AAEE6" w14:textId="77777777" w:rsidR="00C15E1D" w:rsidRPr="0099623A" w:rsidRDefault="00C15E1D">
            <w:pPr>
              <w:widowControl w:val="0"/>
              <w:spacing w:line="276" w:lineRule="auto"/>
              <w:jc w:val="both"/>
              <w:rPr>
                <w:rFonts w:cs="Times New Roman"/>
                <w:sz w:val="21"/>
                <w:szCs w:val="21"/>
              </w:rPr>
            </w:pPr>
          </w:p>
        </w:tc>
      </w:tr>
      <w:tr w:rsidR="00C15E1D" w:rsidRPr="0099623A" w14:paraId="3E2FA20D" w14:textId="77777777">
        <w:tc>
          <w:tcPr>
            <w:tcW w:w="1406" w:type="pct"/>
            <w:vAlign w:val="center"/>
          </w:tcPr>
          <w:p w14:paraId="291581D7"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污染区75-1500亩/点</w:t>
            </w:r>
          </w:p>
          <w:p w14:paraId="3922E774"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一般农区2250-12000亩/点</w:t>
            </w:r>
          </w:p>
        </w:tc>
        <w:tc>
          <w:tcPr>
            <w:tcW w:w="1350" w:type="pct"/>
            <w:vAlign w:val="center"/>
          </w:tcPr>
          <w:p w14:paraId="0B161886"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农产品产地安全质量划分</w:t>
            </w:r>
          </w:p>
        </w:tc>
        <w:tc>
          <w:tcPr>
            <w:tcW w:w="2244" w:type="pct"/>
            <w:vMerge/>
            <w:vAlign w:val="center"/>
          </w:tcPr>
          <w:p w14:paraId="69B775D0" w14:textId="77777777" w:rsidR="00C15E1D" w:rsidRPr="0099623A" w:rsidRDefault="00C15E1D">
            <w:pPr>
              <w:widowControl w:val="0"/>
              <w:spacing w:line="276" w:lineRule="auto"/>
              <w:jc w:val="both"/>
              <w:rPr>
                <w:rFonts w:cs="Times New Roman"/>
                <w:sz w:val="21"/>
                <w:szCs w:val="21"/>
              </w:rPr>
            </w:pPr>
          </w:p>
        </w:tc>
      </w:tr>
      <w:tr w:rsidR="00C15E1D" w:rsidRPr="0099623A" w14:paraId="3A6AE906" w14:textId="77777777">
        <w:tc>
          <w:tcPr>
            <w:tcW w:w="1406" w:type="pct"/>
            <w:vAlign w:val="center"/>
          </w:tcPr>
          <w:p w14:paraId="44689F5E"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3000-15000亩/点</w:t>
            </w:r>
          </w:p>
        </w:tc>
        <w:tc>
          <w:tcPr>
            <w:tcW w:w="1350" w:type="pct"/>
            <w:vAlign w:val="center"/>
          </w:tcPr>
          <w:p w14:paraId="7CB6C065"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农田土壤背景值调查</w:t>
            </w:r>
          </w:p>
        </w:tc>
        <w:tc>
          <w:tcPr>
            <w:tcW w:w="2244" w:type="pct"/>
            <w:vMerge/>
            <w:vAlign w:val="center"/>
          </w:tcPr>
          <w:p w14:paraId="09FFEE70" w14:textId="77777777" w:rsidR="00C15E1D" w:rsidRPr="0099623A" w:rsidRDefault="00C15E1D">
            <w:pPr>
              <w:widowControl w:val="0"/>
              <w:spacing w:line="276" w:lineRule="auto"/>
              <w:jc w:val="both"/>
              <w:rPr>
                <w:rFonts w:cs="Times New Roman"/>
                <w:sz w:val="21"/>
                <w:szCs w:val="21"/>
              </w:rPr>
            </w:pPr>
          </w:p>
        </w:tc>
      </w:tr>
      <w:tr w:rsidR="00C15E1D" w:rsidRPr="0099623A" w14:paraId="3E051B4D" w14:textId="77777777">
        <w:tc>
          <w:tcPr>
            <w:tcW w:w="1406" w:type="pct"/>
            <w:vAlign w:val="center"/>
          </w:tcPr>
          <w:p w14:paraId="327A56B5"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污染区150-4500亩/点</w:t>
            </w:r>
          </w:p>
          <w:p w14:paraId="1A5D3B31"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一般农区3000-15000亩/点</w:t>
            </w:r>
          </w:p>
        </w:tc>
        <w:tc>
          <w:tcPr>
            <w:tcW w:w="1350" w:type="pct"/>
            <w:vAlign w:val="center"/>
          </w:tcPr>
          <w:p w14:paraId="05B48DB0"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农产品产地污染普查</w:t>
            </w:r>
          </w:p>
        </w:tc>
        <w:tc>
          <w:tcPr>
            <w:tcW w:w="2244" w:type="pct"/>
            <w:vMerge/>
            <w:vAlign w:val="center"/>
          </w:tcPr>
          <w:p w14:paraId="7AAC45F7" w14:textId="77777777" w:rsidR="00C15E1D" w:rsidRPr="0099623A" w:rsidRDefault="00C15E1D">
            <w:pPr>
              <w:widowControl w:val="0"/>
              <w:spacing w:line="276" w:lineRule="auto"/>
              <w:jc w:val="both"/>
              <w:rPr>
                <w:rFonts w:cs="Times New Roman"/>
                <w:sz w:val="21"/>
                <w:szCs w:val="21"/>
              </w:rPr>
            </w:pPr>
          </w:p>
        </w:tc>
      </w:tr>
      <w:tr w:rsidR="00C15E1D" w:rsidRPr="0099623A" w14:paraId="7EAE112E" w14:textId="77777777">
        <w:tc>
          <w:tcPr>
            <w:tcW w:w="1406" w:type="pct"/>
            <w:vAlign w:val="center"/>
          </w:tcPr>
          <w:p w14:paraId="64F53B80"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同NY/T 395</w:t>
            </w:r>
          </w:p>
        </w:tc>
        <w:tc>
          <w:tcPr>
            <w:tcW w:w="1350" w:type="pct"/>
            <w:vAlign w:val="center"/>
          </w:tcPr>
          <w:p w14:paraId="2EF8983C" w14:textId="77777777" w:rsidR="00C15E1D" w:rsidRPr="0099623A" w:rsidRDefault="00C15E1D">
            <w:pPr>
              <w:widowControl w:val="0"/>
              <w:spacing w:line="276" w:lineRule="auto"/>
              <w:jc w:val="both"/>
              <w:rPr>
                <w:rFonts w:cs="Times New Roman"/>
                <w:sz w:val="21"/>
                <w:szCs w:val="21"/>
              </w:rPr>
            </w:pPr>
          </w:p>
        </w:tc>
        <w:tc>
          <w:tcPr>
            <w:tcW w:w="2244" w:type="pct"/>
            <w:vAlign w:val="center"/>
          </w:tcPr>
          <w:p w14:paraId="11F4FD82"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NY/T 398农、畜、水产品污染监测技术规范</w:t>
            </w:r>
          </w:p>
        </w:tc>
      </w:tr>
      <w:tr w:rsidR="00C15E1D" w:rsidRPr="0099623A" w14:paraId="761F2D4F" w14:textId="77777777">
        <w:tc>
          <w:tcPr>
            <w:tcW w:w="1406" w:type="pct"/>
            <w:vAlign w:val="center"/>
          </w:tcPr>
          <w:p w14:paraId="76D61150"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15亩/点</w:t>
            </w:r>
          </w:p>
        </w:tc>
        <w:tc>
          <w:tcPr>
            <w:tcW w:w="1350" w:type="pct"/>
            <w:vAlign w:val="center"/>
          </w:tcPr>
          <w:p w14:paraId="0D6310C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针对耕地污染治理修复项目</w:t>
            </w:r>
          </w:p>
        </w:tc>
        <w:tc>
          <w:tcPr>
            <w:tcW w:w="2244" w:type="pct"/>
            <w:vAlign w:val="center"/>
          </w:tcPr>
          <w:p w14:paraId="2C87F06C"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 3343-2018 耕地污染治理效果评估准则</w:t>
            </w:r>
          </w:p>
        </w:tc>
      </w:tr>
      <w:tr w:rsidR="00C15E1D" w:rsidRPr="0099623A" w14:paraId="714AE12A" w14:textId="77777777">
        <w:tc>
          <w:tcPr>
            <w:tcW w:w="1406" w:type="pct"/>
            <w:vAlign w:val="center"/>
          </w:tcPr>
          <w:p w14:paraId="251A13E1"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2000公顷以内：3-5个，2000公顷以上：每增加1000公顷，增加1个</w:t>
            </w:r>
          </w:p>
        </w:tc>
        <w:tc>
          <w:tcPr>
            <w:tcW w:w="1350" w:type="pct"/>
            <w:vAlign w:val="center"/>
          </w:tcPr>
          <w:p w14:paraId="74797308"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大田种植区土壤样点布设</w:t>
            </w:r>
          </w:p>
        </w:tc>
        <w:tc>
          <w:tcPr>
            <w:tcW w:w="2244" w:type="pct"/>
            <w:vMerge w:val="restart"/>
            <w:vAlign w:val="center"/>
          </w:tcPr>
          <w:p w14:paraId="723EE101"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NY/T 1054 绿色食品 产地环境调查、监测与评价规范</w:t>
            </w:r>
          </w:p>
        </w:tc>
      </w:tr>
      <w:tr w:rsidR="00C15E1D" w:rsidRPr="0099623A" w14:paraId="301F3D5D" w14:textId="77777777">
        <w:tc>
          <w:tcPr>
            <w:tcW w:w="1406" w:type="pct"/>
            <w:vAlign w:val="center"/>
          </w:tcPr>
          <w:p w14:paraId="60AD078F"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200公顷以内：3-5个，200公顷以上：每增加100公顷，增加1个</w:t>
            </w:r>
          </w:p>
        </w:tc>
        <w:tc>
          <w:tcPr>
            <w:tcW w:w="1350" w:type="pct"/>
            <w:vAlign w:val="center"/>
          </w:tcPr>
          <w:p w14:paraId="6907EA2A"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蔬菜露地种植区土壤样点布设</w:t>
            </w:r>
          </w:p>
        </w:tc>
        <w:tc>
          <w:tcPr>
            <w:tcW w:w="2244" w:type="pct"/>
            <w:vMerge/>
            <w:vAlign w:val="center"/>
          </w:tcPr>
          <w:p w14:paraId="6FAF38B4" w14:textId="77777777" w:rsidR="00C15E1D" w:rsidRPr="0099623A" w:rsidRDefault="00C15E1D">
            <w:pPr>
              <w:widowControl w:val="0"/>
              <w:spacing w:line="276" w:lineRule="auto"/>
              <w:jc w:val="both"/>
              <w:rPr>
                <w:rFonts w:cs="Times New Roman"/>
                <w:sz w:val="21"/>
                <w:szCs w:val="21"/>
              </w:rPr>
            </w:pPr>
          </w:p>
        </w:tc>
      </w:tr>
      <w:tr w:rsidR="00C15E1D" w:rsidRPr="0099623A" w14:paraId="48633E5E" w14:textId="77777777">
        <w:tc>
          <w:tcPr>
            <w:tcW w:w="1406" w:type="pct"/>
            <w:vAlign w:val="center"/>
          </w:tcPr>
          <w:p w14:paraId="3981E8E2"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100公顷以内：3个，100-300公顷：5个，300公顷以上：每增加100公顷，增加1个点</w:t>
            </w:r>
          </w:p>
        </w:tc>
        <w:tc>
          <w:tcPr>
            <w:tcW w:w="1350" w:type="pct"/>
            <w:vAlign w:val="center"/>
          </w:tcPr>
          <w:p w14:paraId="47D0069C"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设施种植区土壤样点布设</w:t>
            </w:r>
          </w:p>
        </w:tc>
        <w:tc>
          <w:tcPr>
            <w:tcW w:w="2244" w:type="pct"/>
            <w:vMerge/>
            <w:vAlign w:val="center"/>
          </w:tcPr>
          <w:p w14:paraId="129A66B7" w14:textId="77777777" w:rsidR="00C15E1D" w:rsidRPr="0099623A" w:rsidRDefault="00C15E1D">
            <w:pPr>
              <w:widowControl w:val="0"/>
              <w:spacing w:line="276" w:lineRule="auto"/>
              <w:jc w:val="both"/>
              <w:rPr>
                <w:rFonts w:cs="Times New Roman"/>
                <w:sz w:val="21"/>
                <w:szCs w:val="21"/>
              </w:rPr>
            </w:pPr>
          </w:p>
        </w:tc>
      </w:tr>
      <w:tr w:rsidR="00C15E1D" w:rsidRPr="0099623A" w14:paraId="2FBA2F51" w14:textId="77777777">
        <w:tc>
          <w:tcPr>
            <w:tcW w:w="1406" w:type="pct"/>
            <w:vAlign w:val="center"/>
          </w:tcPr>
          <w:p w14:paraId="225C655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2000公顷以内：3个</w:t>
            </w:r>
            <w:r w:rsidRPr="0099623A">
              <w:rPr>
                <w:rFonts w:cs="Times New Roman"/>
                <w:sz w:val="21"/>
                <w:szCs w:val="21"/>
              </w:rPr>
              <w:lastRenderedPageBreak/>
              <w:t>2000-5000公顷：5个，5000-10000公顷：7个，10000公顷以上：每增加5000公顷，增加1个点</w:t>
            </w:r>
          </w:p>
        </w:tc>
        <w:tc>
          <w:tcPr>
            <w:tcW w:w="1350" w:type="pct"/>
            <w:vAlign w:val="center"/>
          </w:tcPr>
          <w:p w14:paraId="4DA9194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lastRenderedPageBreak/>
              <w:t>野生产品生产区土壤样</w:t>
            </w:r>
            <w:r w:rsidRPr="0099623A">
              <w:rPr>
                <w:rFonts w:cs="Times New Roman"/>
                <w:sz w:val="21"/>
                <w:szCs w:val="21"/>
              </w:rPr>
              <w:lastRenderedPageBreak/>
              <w:t>点布设</w:t>
            </w:r>
          </w:p>
          <w:p w14:paraId="6B3C25CA" w14:textId="77777777" w:rsidR="00C15E1D" w:rsidRPr="0099623A" w:rsidRDefault="00C15E1D">
            <w:pPr>
              <w:widowControl w:val="0"/>
              <w:jc w:val="both"/>
              <w:rPr>
                <w:rFonts w:cs="Times New Roman"/>
                <w:sz w:val="21"/>
                <w:szCs w:val="21"/>
              </w:rPr>
            </w:pPr>
          </w:p>
          <w:p w14:paraId="7D82A486" w14:textId="77777777" w:rsidR="00C15E1D" w:rsidRPr="0099623A" w:rsidRDefault="00C15E1D">
            <w:pPr>
              <w:widowControl w:val="0"/>
              <w:jc w:val="both"/>
              <w:rPr>
                <w:rFonts w:cs="Times New Roman"/>
                <w:sz w:val="21"/>
                <w:szCs w:val="21"/>
              </w:rPr>
            </w:pPr>
          </w:p>
          <w:p w14:paraId="17EEA97C" w14:textId="77777777" w:rsidR="00C15E1D" w:rsidRPr="0099623A" w:rsidRDefault="00C15E1D">
            <w:pPr>
              <w:widowControl w:val="0"/>
              <w:jc w:val="both"/>
              <w:rPr>
                <w:rFonts w:cs="Times New Roman"/>
                <w:sz w:val="21"/>
                <w:szCs w:val="21"/>
              </w:rPr>
            </w:pPr>
          </w:p>
        </w:tc>
        <w:tc>
          <w:tcPr>
            <w:tcW w:w="2244" w:type="pct"/>
            <w:vMerge/>
            <w:vAlign w:val="center"/>
          </w:tcPr>
          <w:p w14:paraId="39E8B6D0" w14:textId="77777777" w:rsidR="00C15E1D" w:rsidRPr="0099623A" w:rsidRDefault="00C15E1D">
            <w:pPr>
              <w:widowControl w:val="0"/>
              <w:spacing w:line="276" w:lineRule="auto"/>
              <w:jc w:val="both"/>
              <w:rPr>
                <w:rFonts w:cs="Times New Roman"/>
                <w:sz w:val="21"/>
                <w:szCs w:val="21"/>
              </w:rPr>
            </w:pPr>
          </w:p>
        </w:tc>
      </w:tr>
      <w:tr w:rsidR="00C15E1D" w:rsidRPr="0099623A" w14:paraId="61CF6A75" w14:textId="77777777">
        <w:tc>
          <w:tcPr>
            <w:tcW w:w="1406" w:type="pct"/>
            <w:vAlign w:val="center"/>
          </w:tcPr>
          <w:p w14:paraId="14B60388"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 xml:space="preserve">300公顷以内：3-5个，300公顷以上：每增加300公顷，增加1-2个 </w:t>
            </w:r>
          </w:p>
        </w:tc>
        <w:tc>
          <w:tcPr>
            <w:tcW w:w="1350" w:type="pct"/>
            <w:vAlign w:val="center"/>
          </w:tcPr>
          <w:p w14:paraId="25B2285D"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蔬菜栽培区域布点数量</w:t>
            </w:r>
          </w:p>
        </w:tc>
        <w:tc>
          <w:tcPr>
            <w:tcW w:w="2244" w:type="pct"/>
            <w:vMerge w:val="restart"/>
            <w:vAlign w:val="center"/>
          </w:tcPr>
          <w:p w14:paraId="3EC334DA"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NY/T 5295 无公害农产品 产地环境评价准则</w:t>
            </w:r>
          </w:p>
        </w:tc>
      </w:tr>
      <w:tr w:rsidR="00C15E1D" w:rsidRPr="0099623A" w14:paraId="697BAA21" w14:textId="77777777">
        <w:tc>
          <w:tcPr>
            <w:tcW w:w="1406" w:type="pct"/>
            <w:vAlign w:val="center"/>
          </w:tcPr>
          <w:p w14:paraId="6D33ED7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1000公顷以内：3-4个，1000公顷以上：每增加500公顷，增加1-2个</w:t>
            </w:r>
          </w:p>
        </w:tc>
        <w:tc>
          <w:tcPr>
            <w:tcW w:w="1350" w:type="pct"/>
            <w:vAlign w:val="center"/>
          </w:tcPr>
          <w:p w14:paraId="7C2A85DC"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大田作物、林果类产品等产地布点数量</w:t>
            </w:r>
          </w:p>
        </w:tc>
        <w:tc>
          <w:tcPr>
            <w:tcW w:w="2244" w:type="pct"/>
            <w:vMerge/>
            <w:vAlign w:val="center"/>
          </w:tcPr>
          <w:p w14:paraId="065E44A2" w14:textId="77777777" w:rsidR="00C15E1D" w:rsidRPr="0099623A" w:rsidRDefault="00C15E1D">
            <w:pPr>
              <w:widowControl w:val="0"/>
              <w:spacing w:line="276" w:lineRule="auto"/>
              <w:jc w:val="both"/>
              <w:rPr>
                <w:rFonts w:cs="Times New Roman"/>
                <w:sz w:val="21"/>
                <w:szCs w:val="21"/>
              </w:rPr>
            </w:pPr>
          </w:p>
        </w:tc>
      </w:tr>
      <w:tr w:rsidR="00C15E1D" w:rsidRPr="0099623A" w14:paraId="62C2509C" w14:textId="77777777">
        <w:tc>
          <w:tcPr>
            <w:tcW w:w="1406" w:type="pct"/>
            <w:vAlign w:val="center"/>
          </w:tcPr>
          <w:p w14:paraId="483AA56E"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1000亩/点</w:t>
            </w:r>
          </w:p>
        </w:tc>
        <w:tc>
          <w:tcPr>
            <w:tcW w:w="1350" w:type="pct"/>
            <w:vAlign w:val="center"/>
          </w:tcPr>
          <w:p w14:paraId="0CE946F4"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大田采样点数量</w:t>
            </w:r>
          </w:p>
        </w:tc>
        <w:tc>
          <w:tcPr>
            <w:tcW w:w="2244" w:type="pct"/>
            <w:vMerge w:val="restart"/>
            <w:vAlign w:val="center"/>
          </w:tcPr>
          <w:p w14:paraId="6C53B7E2"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NY/T 1634 耕地地力调查与质量评价技术规程</w:t>
            </w:r>
          </w:p>
        </w:tc>
      </w:tr>
      <w:tr w:rsidR="00C15E1D" w:rsidRPr="0099623A" w14:paraId="161852C8" w14:textId="77777777">
        <w:tc>
          <w:tcPr>
            <w:tcW w:w="1406" w:type="pct"/>
            <w:vAlign w:val="center"/>
          </w:tcPr>
          <w:p w14:paraId="539B6615"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500-1000亩/点</w:t>
            </w:r>
          </w:p>
        </w:tc>
        <w:tc>
          <w:tcPr>
            <w:tcW w:w="1350" w:type="pct"/>
            <w:vAlign w:val="center"/>
          </w:tcPr>
          <w:p w14:paraId="0BA825AC"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蔬菜地采样点数量</w:t>
            </w:r>
          </w:p>
        </w:tc>
        <w:tc>
          <w:tcPr>
            <w:tcW w:w="2244" w:type="pct"/>
            <w:vMerge/>
            <w:vAlign w:val="center"/>
          </w:tcPr>
          <w:p w14:paraId="4CB9FC7E" w14:textId="77777777" w:rsidR="00C15E1D" w:rsidRPr="0099623A" w:rsidRDefault="00C15E1D">
            <w:pPr>
              <w:widowControl w:val="0"/>
              <w:spacing w:line="276" w:lineRule="auto"/>
              <w:jc w:val="both"/>
              <w:rPr>
                <w:rFonts w:cs="Times New Roman"/>
                <w:sz w:val="21"/>
                <w:szCs w:val="21"/>
              </w:rPr>
            </w:pPr>
          </w:p>
        </w:tc>
      </w:tr>
      <w:tr w:rsidR="00C15E1D" w:rsidRPr="0099623A" w14:paraId="53A87E69" w14:textId="77777777">
        <w:tc>
          <w:tcPr>
            <w:tcW w:w="1406" w:type="pct"/>
            <w:vAlign w:val="center"/>
          </w:tcPr>
          <w:p w14:paraId="3E2C7070"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公式1：</w:t>
            </w:r>
          </w:p>
          <w:p w14:paraId="49E251DA" w14:textId="77777777" w:rsidR="00C15E1D" w:rsidRPr="0099623A" w:rsidRDefault="00975517">
            <w:pPr>
              <w:widowControl w:val="0"/>
              <w:spacing w:line="276" w:lineRule="auto"/>
              <w:jc w:val="both"/>
              <w:rPr>
                <w:rFonts w:cs="Times New Roman"/>
                <w:i/>
                <w:sz w:val="21"/>
                <w:szCs w:val="21"/>
              </w:rPr>
            </w:pPr>
            <m:oMathPara>
              <m:oMath>
                <m:r>
                  <w:rPr>
                    <w:rFonts w:ascii="Cambria Math" w:hAnsi="Cambria Math" w:cs="Times New Roman"/>
                    <w:sz w:val="21"/>
                    <w:szCs w:val="21"/>
                  </w:rPr>
                  <m:t>N=</m:t>
                </m:r>
                <m:sSup>
                  <m:sSupPr>
                    <m:ctrlPr>
                      <w:rPr>
                        <w:rFonts w:ascii="Cambria Math" w:hAnsi="Cambria Math" w:cs="Times New Roman"/>
                        <w:i/>
                        <w:sz w:val="21"/>
                      </w:rPr>
                    </m:ctrlPr>
                  </m:sSupPr>
                  <m:e>
                    <m:r>
                      <w:rPr>
                        <w:rFonts w:ascii="Cambria Math" w:hAnsi="Cambria Math" w:cs="Times New Roman"/>
                        <w:sz w:val="21"/>
                        <w:szCs w:val="21"/>
                      </w:rPr>
                      <m:t>t</m:t>
                    </m:r>
                  </m:e>
                  <m:sup>
                    <m:r>
                      <w:rPr>
                        <w:rFonts w:ascii="Cambria Math" w:hAnsi="Cambria Math" w:cs="Times New Roman"/>
                        <w:sz w:val="21"/>
                        <w:szCs w:val="21"/>
                      </w:rPr>
                      <m:t>2</m:t>
                    </m:r>
                  </m:sup>
                </m:sSup>
                <m:r>
                  <w:rPr>
                    <w:rFonts w:ascii="Cambria Math" w:hAnsi="Cambria Math" w:cs="Times New Roman"/>
                    <w:sz w:val="21"/>
                    <w:szCs w:val="21"/>
                  </w:rPr>
                  <m:t>·</m:t>
                </m:r>
                <m:sSup>
                  <m:sSupPr>
                    <m:ctrlPr>
                      <w:rPr>
                        <w:rFonts w:ascii="Cambria Math" w:hAnsi="Cambria Math" w:cs="Times New Roman"/>
                        <w:i/>
                        <w:sz w:val="21"/>
                      </w:rPr>
                    </m:ctrlPr>
                  </m:sSupPr>
                  <m:e>
                    <m:r>
                      <w:rPr>
                        <w:rFonts w:ascii="Cambria Math" w:hAnsi="Cambria Math" w:cs="Times New Roman"/>
                        <w:sz w:val="21"/>
                        <w:szCs w:val="21"/>
                      </w:rPr>
                      <m:t>s</m:t>
                    </m:r>
                  </m:e>
                  <m:sup>
                    <m:r>
                      <w:rPr>
                        <w:rFonts w:ascii="Cambria Math" w:hAnsi="Cambria Math" w:cs="Times New Roman"/>
                        <w:sz w:val="21"/>
                        <w:szCs w:val="21"/>
                      </w:rPr>
                      <m:t>2</m:t>
                    </m:r>
                  </m:sup>
                </m:sSup>
                <m:r>
                  <w:rPr>
                    <w:rFonts w:ascii="Cambria Math" w:hAnsi="Cambria Math" w:cs="Times New Roman"/>
                    <w:sz w:val="21"/>
                    <w:szCs w:val="21"/>
                  </w:rPr>
                  <m:t>/</m:t>
                </m:r>
                <m:sSup>
                  <m:sSupPr>
                    <m:ctrlPr>
                      <w:rPr>
                        <w:rFonts w:ascii="Cambria Math" w:hAnsi="Cambria Math" w:cs="Times New Roman"/>
                        <w:i/>
                        <w:sz w:val="21"/>
                      </w:rPr>
                    </m:ctrlPr>
                  </m:sSupPr>
                  <m:e>
                    <m:r>
                      <w:rPr>
                        <w:rFonts w:ascii="Cambria Math" w:hAnsi="Cambria Math" w:cs="Times New Roman"/>
                        <w:sz w:val="21"/>
                        <w:szCs w:val="21"/>
                      </w:rPr>
                      <m:t>D</m:t>
                    </m:r>
                  </m:e>
                  <m:sup>
                    <m:r>
                      <w:rPr>
                        <w:rFonts w:ascii="Cambria Math" w:hAnsi="Cambria Math" w:cs="Times New Roman"/>
                        <w:sz w:val="21"/>
                        <w:szCs w:val="21"/>
                      </w:rPr>
                      <m:t>2</m:t>
                    </m:r>
                  </m:sup>
                </m:sSup>
              </m:oMath>
            </m:oMathPara>
          </w:p>
        </w:tc>
        <w:tc>
          <w:tcPr>
            <w:tcW w:w="1350" w:type="pct"/>
            <w:vAlign w:val="center"/>
          </w:tcPr>
          <w:p w14:paraId="0A6AF7E2"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由均方差和绝对偏差计算样品数</w:t>
            </w:r>
          </w:p>
        </w:tc>
        <w:tc>
          <w:tcPr>
            <w:tcW w:w="2244" w:type="pct"/>
            <w:vMerge w:val="restart"/>
            <w:vAlign w:val="center"/>
          </w:tcPr>
          <w:p w14:paraId="44B44AD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HJ/T 166 土壤环境监测技术规范</w:t>
            </w:r>
          </w:p>
        </w:tc>
      </w:tr>
      <w:tr w:rsidR="00C15E1D" w:rsidRPr="0099623A" w14:paraId="0D1FF772" w14:textId="77777777">
        <w:tc>
          <w:tcPr>
            <w:tcW w:w="1406" w:type="pct"/>
            <w:vAlign w:val="center"/>
          </w:tcPr>
          <w:p w14:paraId="02066D99"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公式2：</w:t>
            </w:r>
          </w:p>
          <w:p w14:paraId="4BA725D4" w14:textId="77777777" w:rsidR="00C15E1D" w:rsidRPr="0099623A" w:rsidRDefault="00975517">
            <w:pPr>
              <w:widowControl w:val="0"/>
              <w:spacing w:line="276" w:lineRule="auto"/>
              <w:jc w:val="both"/>
              <w:rPr>
                <w:rFonts w:cs="Times New Roman"/>
                <w:sz w:val="21"/>
                <w:szCs w:val="21"/>
              </w:rPr>
            </w:pPr>
            <m:oMathPara>
              <m:oMath>
                <m:r>
                  <w:rPr>
                    <w:rFonts w:ascii="Cambria Math" w:hAnsi="Cambria Math" w:cs="Times New Roman"/>
                    <w:sz w:val="21"/>
                    <w:szCs w:val="21"/>
                  </w:rPr>
                  <m:t xml:space="preserve"> N=</m:t>
                </m:r>
                <m:sSup>
                  <m:sSupPr>
                    <m:ctrlPr>
                      <w:rPr>
                        <w:rFonts w:ascii="Cambria Math" w:hAnsi="Cambria Math" w:cs="Times New Roman"/>
                        <w:i/>
                        <w:sz w:val="21"/>
                      </w:rPr>
                    </m:ctrlPr>
                  </m:sSupPr>
                  <m:e>
                    <m:r>
                      <w:rPr>
                        <w:rFonts w:ascii="Cambria Math" w:hAnsi="Cambria Math" w:cs="Times New Roman"/>
                        <w:sz w:val="21"/>
                        <w:szCs w:val="21"/>
                      </w:rPr>
                      <m:t>t</m:t>
                    </m:r>
                  </m:e>
                  <m:sup>
                    <m:r>
                      <w:rPr>
                        <w:rFonts w:ascii="Cambria Math" w:hAnsi="Cambria Math" w:cs="Times New Roman"/>
                        <w:sz w:val="21"/>
                        <w:szCs w:val="21"/>
                      </w:rPr>
                      <m:t>2</m:t>
                    </m:r>
                  </m:sup>
                </m:sSup>
                <m:r>
                  <w:rPr>
                    <w:rFonts w:ascii="Cambria Math" w:hAnsi="Cambria Math" w:cs="Times New Roman"/>
                    <w:sz w:val="21"/>
                    <w:szCs w:val="21"/>
                  </w:rPr>
                  <m:t>·</m:t>
                </m:r>
                <m:sSubSup>
                  <m:sSubSupPr>
                    <m:ctrlPr>
                      <w:rPr>
                        <w:rFonts w:ascii="Cambria Math" w:hAnsi="Cambria Math" w:cs="Times New Roman"/>
                        <w:i/>
                        <w:sz w:val="21"/>
                      </w:rPr>
                    </m:ctrlPr>
                  </m:sSubSupPr>
                  <m:e>
                    <m:r>
                      <w:rPr>
                        <w:rFonts w:ascii="Cambria Math" w:hAnsi="Cambria Math" w:cs="Times New Roman"/>
                        <w:sz w:val="21"/>
                        <w:szCs w:val="21"/>
                      </w:rPr>
                      <m:t>C</m:t>
                    </m:r>
                  </m:e>
                  <m:sub>
                    <m:r>
                      <w:rPr>
                        <w:rFonts w:ascii="Cambria Math" w:hAnsi="Cambria Math" w:cs="Times New Roman"/>
                        <w:sz w:val="21"/>
                        <w:szCs w:val="21"/>
                      </w:rPr>
                      <m:t>V</m:t>
                    </m:r>
                  </m:sub>
                  <m:sup>
                    <m:r>
                      <w:rPr>
                        <w:rFonts w:ascii="Cambria Math" w:hAnsi="Cambria Math" w:cs="Times New Roman"/>
                        <w:sz w:val="21"/>
                        <w:szCs w:val="21"/>
                      </w:rPr>
                      <m:t>2</m:t>
                    </m:r>
                  </m:sup>
                </m:sSubSup>
                <m:r>
                  <w:rPr>
                    <w:rFonts w:ascii="Cambria Math" w:hAnsi="Cambria Math" w:cs="Times New Roman"/>
                    <w:sz w:val="21"/>
                    <w:szCs w:val="21"/>
                  </w:rPr>
                  <m:t>/</m:t>
                </m:r>
                <m:sSup>
                  <m:sSupPr>
                    <m:ctrlPr>
                      <w:rPr>
                        <w:rFonts w:ascii="Cambria Math" w:hAnsi="Cambria Math" w:cs="Times New Roman"/>
                        <w:i/>
                        <w:sz w:val="21"/>
                      </w:rPr>
                    </m:ctrlPr>
                  </m:sSupPr>
                  <m:e>
                    <m:r>
                      <w:rPr>
                        <w:rFonts w:ascii="Cambria Math" w:hAnsi="Cambria Math" w:cs="Times New Roman"/>
                        <w:sz w:val="21"/>
                        <w:szCs w:val="21"/>
                      </w:rPr>
                      <m:t>m</m:t>
                    </m:r>
                  </m:e>
                  <m:sup>
                    <m:r>
                      <w:rPr>
                        <w:rFonts w:ascii="Cambria Math" w:hAnsi="Cambria Math" w:cs="Times New Roman"/>
                        <w:sz w:val="21"/>
                        <w:szCs w:val="21"/>
                      </w:rPr>
                      <m:t>2</m:t>
                    </m:r>
                  </m:sup>
                </m:sSup>
              </m:oMath>
            </m:oMathPara>
          </w:p>
        </w:tc>
        <w:tc>
          <w:tcPr>
            <w:tcW w:w="1350" w:type="pct"/>
            <w:vAlign w:val="center"/>
          </w:tcPr>
          <w:p w14:paraId="6663060A"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由变异系数和相对偏差计算样品数</w:t>
            </w:r>
          </w:p>
        </w:tc>
        <w:tc>
          <w:tcPr>
            <w:tcW w:w="2244" w:type="pct"/>
            <w:vMerge/>
            <w:vAlign w:val="center"/>
          </w:tcPr>
          <w:p w14:paraId="7FEB9E2C" w14:textId="77777777" w:rsidR="00C15E1D" w:rsidRPr="0099623A" w:rsidRDefault="00C15E1D">
            <w:pPr>
              <w:widowControl w:val="0"/>
              <w:spacing w:line="276" w:lineRule="auto"/>
              <w:jc w:val="both"/>
              <w:rPr>
                <w:rFonts w:cs="Times New Roman"/>
                <w:sz w:val="21"/>
                <w:szCs w:val="21"/>
              </w:rPr>
            </w:pPr>
          </w:p>
        </w:tc>
      </w:tr>
    </w:tbl>
    <w:p w14:paraId="1E6494D3" w14:textId="77777777" w:rsidR="00C15E1D" w:rsidRDefault="00975517">
      <w:pPr>
        <w:widowControl w:val="0"/>
        <w:spacing w:beforeLines="50" w:before="156" w:line="360" w:lineRule="auto"/>
        <w:ind w:firstLineChars="200" w:firstLine="640"/>
        <w:jc w:val="both"/>
        <w:rPr>
          <w:rFonts w:eastAsiaTheme="minorEastAsia" w:cs="Times New Roman"/>
          <w:szCs w:val="32"/>
        </w:rPr>
      </w:pPr>
      <w:r>
        <w:rPr>
          <w:rFonts w:eastAsiaTheme="minorEastAsia" w:cs="Times New Roman" w:hint="eastAsia"/>
          <w:szCs w:val="32"/>
        </w:rPr>
        <w:t>从表</w:t>
      </w:r>
      <w:r>
        <w:rPr>
          <w:rFonts w:eastAsiaTheme="minorEastAsia" w:cs="Times New Roman"/>
          <w:szCs w:val="32"/>
        </w:rPr>
        <w:t>1</w:t>
      </w:r>
      <w:r>
        <w:rPr>
          <w:rFonts w:eastAsiaTheme="minorEastAsia" w:cs="Times New Roman" w:hint="eastAsia"/>
          <w:szCs w:val="32"/>
        </w:rPr>
        <w:t>中可以看出，根据工作目标，目前我国耕地污染调查监测类布设点位密度在</w:t>
      </w:r>
      <w:r>
        <w:rPr>
          <w:rFonts w:eastAsiaTheme="minorEastAsia" w:cs="Times New Roman"/>
          <w:szCs w:val="32"/>
        </w:rPr>
        <w:t>15</w:t>
      </w:r>
      <w:r>
        <w:rPr>
          <w:rFonts w:eastAsiaTheme="minorEastAsia" w:cs="Times New Roman" w:hint="eastAsia"/>
          <w:szCs w:val="32"/>
        </w:rPr>
        <w:t>亩</w:t>
      </w:r>
      <w:r>
        <w:rPr>
          <w:rFonts w:eastAsiaTheme="minorEastAsia" w:cs="Times New Roman"/>
          <w:szCs w:val="32"/>
        </w:rPr>
        <w:t>/</w:t>
      </w:r>
      <w:r>
        <w:rPr>
          <w:rFonts w:eastAsiaTheme="minorEastAsia" w:cs="Times New Roman" w:hint="eastAsia"/>
          <w:szCs w:val="32"/>
        </w:rPr>
        <w:t>点到</w:t>
      </w:r>
      <w:r>
        <w:rPr>
          <w:rFonts w:eastAsiaTheme="minorEastAsia" w:cs="Times New Roman"/>
          <w:szCs w:val="32"/>
        </w:rPr>
        <w:t>75000</w:t>
      </w:r>
      <w:r>
        <w:rPr>
          <w:rFonts w:eastAsiaTheme="minorEastAsia" w:cs="Times New Roman" w:hint="eastAsia"/>
          <w:szCs w:val="32"/>
        </w:rPr>
        <w:t>亩</w:t>
      </w:r>
      <w:r>
        <w:rPr>
          <w:rFonts w:eastAsiaTheme="minorEastAsia" w:cs="Times New Roman"/>
          <w:szCs w:val="32"/>
        </w:rPr>
        <w:t>/</w:t>
      </w:r>
      <w:r>
        <w:rPr>
          <w:rFonts w:eastAsiaTheme="minorEastAsia" w:cs="Times New Roman" w:hint="eastAsia"/>
          <w:szCs w:val="32"/>
        </w:rPr>
        <w:t>点不等。布点密度无疑是越高越准确，但从成本和可行性的角度来说，食用农产品产地风险评估无法像场地污染调查监测那样高密度布点，综合考虑工作量、科学性、可重现性及与以往工作相衔接等多种因素，我们将调查单元布点密度规定为</w:t>
      </w:r>
      <w:r>
        <w:rPr>
          <w:rFonts w:eastAsiaTheme="minorEastAsia" w:cs="Times New Roman" w:hint="eastAsia"/>
          <w:szCs w:val="32"/>
        </w:rPr>
        <w:t>30</w:t>
      </w:r>
      <w:r>
        <w:rPr>
          <w:rFonts w:eastAsiaTheme="minorEastAsia" w:cs="Times New Roman" w:hint="eastAsia"/>
          <w:szCs w:val="32"/>
        </w:rPr>
        <w:t>个以上（符合大样本要求），根据该区域农用地详查时的污染程度及土地利用现状差异化布点（表</w:t>
      </w:r>
      <w:r>
        <w:rPr>
          <w:rFonts w:eastAsiaTheme="minorEastAsia" w:cs="Times New Roman" w:hint="eastAsia"/>
          <w:szCs w:val="32"/>
        </w:rPr>
        <w:t>2</w:t>
      </w:r>
      <w:r>
        <w:rPr>
          <w:rFonts w:eastAsiaTheme="minorEastAsia" w:cs="Times New Roman" w:hint="eastAsia"/>
          <w:szCs w:val="32"/>
        </w:rPr>
        <w:t>）。如调查单元面积较小、地形破碎，或土壤与农产品重金属含量变异较大，可适当提高布点密度；当地形平坦、种植结构单一、土壤类型单一时，可酌情降低布点密度。对于未叠加农用地详查评价单元的调查单元，统一采用安全利用类的布点密度。例如划</w:t>
      </w:r>
      <w:r>
        <w:rPr>
          <w:rFonts w:eastAsiaTheme="minorEastAsia" w:cs="Times New Roman" w:hint="eastAsia"/>
          <w:szCs w:val="32"/>
        </w:rPr>
        <w:lastRenderedPageBreak/>
        <w:t>分为水田的某调查单元，按照</w:t>
      </w:r>
      <w:r>
        <w:rPr>
          <w:rFonts w:eastAsiaTheme="minorEastAsia" w:cs="Times New Roman"/>
          <w:szCs w:val="32"/>
        </w:rPr>
        <w:t>50-150</w:t>
      </w:r>
      <w:r>
        <w:rPr>
          <w:rFonts w:eastAsiaTheme="minorEastAsia" w:cs="Times New Roman" w:hint="eastAsia"/>
          <w:szCs w:val="32"/>
        </w:rPr>
        <w:t>亩</w:t>
      </w:r>
      <w:r>
        <w:rPr>
          <w:rFonts w:eastAsiaTheme="minorEastAsia" w:cs="Times New Roman"/>
          <w:szCs w:val="32"/>
        </w:rPr>
        <w:t>/</w:t>
      </w:r>
      <w:r>
        <w:rPr>
          <w:rFonts w:eastAsiaTheme="minorEastAsia" w:cs="Times New Roman" w:hint="eastAsia"/>
          <w:szCs w:val="32"/>
        </w:rPr>
        <w:t>点的密度布点。采样及检测方法按照</w:t>
      </w:r>
      <w:r>
        <w:rPr>
          <w:rFonts w:eastAsiaTheme="minorEastAsia" w:cs="Times New Roman"/>
          <w:szCs w:val="32"/>
        </w:rPr>
        <w:t>NYT/398</w:t>
      </w:r>
      <w:r>
        <w:rPr>
          <w:rFonts w:eastAsiaTheme="minorEastAsia" w:cs="Times New Roman" w:hint="eastAsia"/>
          <w:szCs w:val="32"/>
        </w:rPr>
        <w:t>的规定执行，每个采样点的样品为</w:t>
      </w:r>
      <w:r>
        <w:rPr>
          <w:rFonts w:eastAsiaTheme="minorEastAsia" w:cs="Times New Roman"/>
          <w:szCs w:val="32"/>
        </w:rPr>
        <w:t>5</w:t>
      </w:r>
      <w:r>
        <w:rPr>
          <w:rFonts w:eastAsiaTheme="minorEastAsia" w:cs="Times New Roman" w:hint="eastAsia"/>
          <w:szCs w:val="32"/>
        </w:rPr>
        <w:t>点以上等量的混合样。</w:t>
      </w:r>
    </w:p>
    <w:p w14:paraId="13AE3646" w14:textId="77777777" w:rsidR="00C15E1D" w:rsidRDefault="00975517">
      <w:pPr>
        <w:widowControl w:val="0"/>
        <w:spacing w:beforeLines="50" w:before="156" w:line="360" w:lineRule="auto"/>
        <w:jc w:val="center"/>
        <w:rPr>
          <w:rFonts w:ascii="黑体" w:eastAsia="黑体" w:cs="Times New Roman"/>
          <w:sz w:val="21"/>
          <w:szCs w:val="21"/>
        </w:rPr>
      </w:pPr>
      <w:r>
        <w:rPr>
          <w:rFonts w:ascii="黑体" w:eastAsia="黑体" w:cs="Times New Roman" w:hint="eastAsia"/>
          <w:sz w:val="21"/>
          <w:szCs w:val="21"/>
        </w:rPr>
        <w:t>表2  调查单元成对点位布点密度</w:t>
      </w:r>
    </w:p>
    <w:tbl>
      <w:tblPr>
        <w:tblStyle w:val="ab"/>
        <w:tblW w:w="5000" w:type="pct"/>
        <w:jc w:val="center"/>
        <w:tblLook w:val="04A0" w:firstRow="1" w:lastRow="0" w:firstColumn="1" w:lastColumn="0" w:noHBand="0" w:noVBand="1"/>
      </w:tblPr>
      <w:tblGrid>
        <w:gridCol w:w="1056"/>
        <w:gridCol w:w="2488"/>
        <w:gridCol w:w="2488"/>
        <w:gridCol w:w="2490"/>
      </w:tblGrid>
      <w:tr w:rsidR="00C15E1D" w:rsidRPr="0099623A" w14:paraId="2C92CC6C" w14:textId="77777777">
        <w:trPr>
          <w:tblHeader/>
          <w:jc w:val="center"/>
        </w:trPr>
        <w:tc>
          <w:tcPr>
            <w:tcW w:w="619" w:type="pct"/>
            <w:vAlign w:val="center"/>
          </w:tcPr>
          <w:p w14:paraId="1D64EA2F" w14:textId="77777777" w:rsidR="00C15E1D" w:rsidRPr="0099623A" w:rsidRDefault="00975517">
            <w:pPr>
              <w:widowControl w:val="0"/>
              <w:spacing w:line="276" w:lineRule="auto"/>
              <w:jc w:val="both"/>
              <w:rPr>
                <w:rFonts w:cs="Times New Roman"/>
                <w:b/>
                <w:bCs/>
                <w:sz w:val="21"/>
                <w:szCs w:val="21"/>
              </w:rPr>
            </w:pPr>
            <w:r w:rsidRPr="0099623A">
              <w:rPr>
                <w:rFonts w:cs="Times New Roman"/>
                <w:b/>
                <w:bCs/>
                <w:sz w:val="21"/>
                <w:szCs w:val="21"/>
              </w:rPr>
              <w:t>类型</w:t>
            </w:r>
          </w:p>
        </w:tc>
        <w:tc>
          <w:tcPr>
            <w:tcW w:w="1459" w:type="pct"/>
            <w:vAlign w:val="center"/>
          </w:tcPr>
          <w:p w14:paraId="4378BCE1" w14:textId="77777777" w:rsidR="00C15E1D" w:rsidRPr="0099623A" w:rsidRDefault="00975517">
            <w:pPr>
              <w:widowControl w:val="0"/>
              <w:spacing w:line="276" w:lineRule="auto"/>
              <w:jc w:val="both"/>
              <w:rPr>
                <w:rFonts w:cs="Times New Roman"/>
                <w:b/>
                <w:bCs/>
                <w:sz w:val="21"/>
                <w:szCs w:val="21"/>
                <w:vertAlign w:val="superscript"/>
              </w:rPr>
            </w:pPr>
            <w:r w:rsidRPr="0099623A">
              <w:rPr>
                <w:rFonts w:cs="Times New Roman"/>
                <w:b/>
                <w:bCs/>
                <w:sz w:val="21"/>
                <w:szCs w:val="21"/>
              </w:rPr>
              <w:t>优先保护类</w:t>
            </w:r>
          </w:p>
        </w:tc>
        <w:tc>
          <w:tcPr>
            <w:tcW w:w="1459" w:type="pct"/>
            <w:vAlign w:val="center"/>
          </w:tcPr>
          <w:p w14:paraId="09F2D93C" w14:textId="77777777" w:rsidR="00C15E1D" w:rsidRPr="0099623A" w:rsidRDefault="00975517">
            <w:pPr>
              <w:widowControl w:val="0"/>
              <w:spacing w:line="276" w:lineRule="auto"/>
              <w:jc w:val="both"/>
              <w:rPr>
                <w:rFonts w:cs="Times New Roman"/>
                <w:b/>
                <w:bCs/>
                <w:sz w:val="21"/>
                <w:szCs w:val="21"/>
              </w:rPr>
            </w:pPr>
            <w:r w:rsidRPr="0099623A">
              <w:rPr>
                <w:rFonts w:cs="Times New Roman"/>
                <w:b/>
                <w:bCs/>
                <w:sz w:val="21"/>
                <w:szCs w:val="21"/>
              </w:rPr>
              <w:t>安全利用类</w:t>
            </w:r>
          </w:p>
        </w:tc>
        <w:tc>
          <w:tcPr>
            <w:tcW w:w="1460" w:type="pct"/>
            <w:vAlign w:val="center"/>
          </w:tcPr>
          <w:p w14:paraId="44848FF0" w14:textId="77777777" w:rsidR="00C15E1D" w:rsidRPr="0099623A" w:rsidRDefault="00975517">
            <w:pPr>
              <w:widowControl w:val="0"/>
              <w:spacing w:line="276" w:lineRule="auto"/>
              <w:jc w:val="both"/>
              <w:rPr>
                <w:rFonts w:cs="Times New Roman"/>
                <w:b/>
                <w:bCs/>
                <w:sz w:val="21"/>
                <w:szCs w:val="21"/>
              </w:rPr>
            </w:pPr>
            <w:r w:rsidRPr="0099623A">
              <w:rPr>
                <w:rFonts w:cs="Times New Roman"/>
                <w:b/>
                <w:bCs/>
                <w:sz w:val="21"/>
                <w:szCs w:val="21"/>
              </w:rPr>
              <w:t>严格管控类</w:t>
            </w:r>
          </w:p>
        </w:tc>
      </w:tr>
      <w:tr w:rsidR="00C15E1D" w:rsidRPr="0099623A" w14:paraId="19AFD902" w14:textId="77777777">
        <w:trPr>
          <w:jc w:val="center"/>
        </w:trPr>
        <w:tc>
          <w:tcPr>
            <w:tcW w:w="619" w:type="pct"/>
            <w:vAlign w:val="center"/>
          </w:tcPr>
          <w:p w14:paraId="16B903BC"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水田</w:t>
            </w:r>
          </w:p>
        </w:tc>
        <w:tc>
          <w:tcPr>
            <w:tcW w:w="1459" w:type="pct"/>
            <w:vAlign w:val="center"/>
          </w:tcPr>
          <w:p w14:paraId="52D0F520"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150-500亩/点</w:t>
            </w:r>
          </w:p>
        </w:tc>
        <w:tc>
          <w:tcPr>
            <w:tcW w:w="1459" w:type="pct"/>
            <w:vAlign w:val="center"/>
          </w:tcPr>
          <w:p w14:paraId="35589E73"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50-150亩/点</w:t>
            </w:r>
          </w:p>
        </w:tc>
        <w:tc>
          <w:tcPr>
            <w:tcW w:w="1460" w:type="pct"/>
            <w:vAlign w:val="center"/>
          </w:tcPr>
          <w:p w14:paraId="23C362BE"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15-50亩/点</w:t>
            </w:r>
          </w:p>
        </w:tc>
      </w:tr>
      <w:tr w:rsidR="00C15E1D" w:rsidRPr="0099623A" w14:paraId="0087478D" w14:textId="77777777">
        <w:trPr>
          <w:jc w:val="center"/>
        </w:trPr>
        <w:tc>
          <w:tcPr>
            <w:tcW w:w="619" w:type="pct"/>
            <w:vAlign w:val="center"/>
          </w:tcPr>
          <w:p w14:paraId="0A24EE3B"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其他</w:t>
            </w:r>
          </w:p>
        </w:tc>
        <w:tc>
          <w:tcPr>
            <w:tcW w:w="1459" w:type="pct"/>
            <w:vAlign w:val="center"/>
          </w:tcPr>
          <w:p w14:paraId="45D4125E"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500-1500亩/点</w:t>
            </w:r>
          </w:p>
        </w:tc>
        <w:tc>
          <w:tcPr>
            <w:tcW w:w="1459" w:type="pct"/>
            <w:vAlign w:val="center"/>
          </w:tcPr>
          <w:p w14:paraId="73D17E2E"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150-500亩/点</w:t>
            </w:r>
          </w:p>
        </w:tc>
        <w:tc>
          <w:tcPr>
            <w:tcW w:w="1460" w:type="pct"/>
            <w:vAlign w:val="center"/>
          </w:tcPr>
          <w:p w14:paraId="46E2A957" w14:textId="77777777" w:rsidR="00C15E1D" w:rsidRPr="0099623A" w:rsidRDefault="00975517">
            <w:pPr>
              <w:widowControl w:val="0"/>
              <w:spacing w:line="276" w:lineRule="auto"/>
              <w:jc w:val="both"/>
              <w:rPr>
                <w:rFonts w:cs="Times New Roman"/>
                <w:sz w:val="21"/>
                <w:szCs w:val="21"/>
              </w:rPr>
            </w:pPr>
            <w:r w:rsidRPr="0099623A">
              <w:rPr>
                <w:rFonts w:cs="Times New Roman"/>
                <w:sz w:val="21"/>
                <w:szCs w:val="21"/>
              </w:rPr>
              <w:t>50-150亩/点</w:t>
            </w:r>
          </w:p>
        </w:tc>
      </w:tr>
    </w:tbl>
    <w:p w14:paraId="60D090A3" w14:textId="2A559BE4" w:rsidR="00C15E1D" w:rsidRDefault="0099623A">
      <w:pPr>
        <w:spacing w:beforeLines="50" w:before="156"/>
        <w:ind w:firstLineChars="200" w:firstLine="640"/>
        <w:jc w:val="both"/>
        <w:outlineLvl w:val="0"/>
        <w:rPr>
          <w:rFonts w:ascii="黑体" w:eastAsia="黑体" w:hAnsi="黑体"/>
          <w:szCs w:val="32"/>
        </w:rPr>
      </w:pPr>
      <w:r>
        <w:rPr>
          <w:rFonts w:ascii="黑体" w:eastAsia="黑体" w:hAnsi="黑体" w:hint="eastAsia"/>
          <w:szCs w:val="32"/>
        </w:rPr>
        <w:t>六</w:t>
      </w:r>
      <w:r w:rsidR="00975517">
        <w:rPr>
          <w:rFonts w:ascii="黑体" w:eastAsia="黑体" w:hAnsi="黑体" w:hint="eastAsia"/>
          <w:szCs w:val="32"/>
        </w:rPr>
        <w:t>、对实施本标准的建议</w:t>
      </w:r>
    </w:p>
    <w:p w14:paraId="3C49A1B2" w14:textId="77777777" w:rsidR="00C15E1D" w:rsidRDefault="00975517">
      <w:pPr>
        <w:spacing w:line="360" w:lineRule="auto"/>
        <w:ind w:firstLineChars="200" w:firstLine="640"/>
        <w:rPr>
          <w:rFonts w:cs="Times New Roman"/>
          <w:szCs w:val="32"/>
        </w:rPr>
      </w:pPr>
      <w:r>
        <w:rPr>
          <w:rFonts w:cs="Times New Roman"/>
          <w:szCs w:val="32"/>
        </w:rPr>
        <w:t>本标准与农用地（耕地）土壤环境质量类别划分技术指南、受污染耕地治理与修复导则、受污染耕地安全利用技术指南、特定农产品</w:t>
      </w:r>
      <w:r>
        <w:rPr>
          <w:rFonts w:cs="Times New Roman" w:hint="eastAsia"/>
          <w:szCs w:val="32"/>
        </w:rPr>
        <w:t>严格管控区划定</w:t>
      </w:r>
      <w:r>
        <w:rPr>
          <w:rFonts w:cs="Times New Roman"/>
          <w:szCs w:val="32"/>
        </w:rPr>
        <w:t>技术</w:t>
      </w:r>
      <w:r>
        <w:rPr>
          <w:rFonts w:cs="Times New Roman" w:hint="eastAsia"/>
          <w:szCs w:val="32"/>
        </w:rPr>
        <w:t>导则</w:t>
      </w:r>
      <w:r>
        <w:rPr>
          <w:rFonts w:cs="Times New Roman"/>
          <w:szCs w:val="32"/>
        </w:rPr>
        <w:t>等标准共同构建受污染耕地污染防治全链条标准体系，</w:t>
      </w:r>
      <w:r>
        <w:rPr>
          <w:rFonts w:cs="Times New Roman" w:hint="eastAsia"/>
          <w:szCs w:val="32"/>
        </w:rPr>
        <w:t>建议作为推荐性标准实施</w:t>
      </w:r>
      <w:r>
        <w:rPr>
          <w:rFonts w:cs="Times New Roman"/>
          <w:szCs w:val="32"/>
        </w:rPr>
        <w:t>，</w:t>
      </w:r>
      <w:r>
        <w:rPr>
          <w:rFonts w:cs="Times New Roman" w:hint="eastAsia"/>
          <w:szCs w:val="32"/>
        </w:rPr>
        <w:t>用于</w:t>
      </w:r>
      <w:r>
        <w:rPr>
          <w:rFonts w:cs="Times New Roman"/>
          <w:szCs w:val="32"/>
        </w:rPr>
        <w:t>指导、督促、规范耕地污染治理工作。</w:t>
      </w:r>
    </w:p>
    <w:p w14:paraId="6FCCFEDB" w14:textId="77777777" w:rsidR="00C15E1D" w:rsidRDefault="00C15E1D">
      <w:pPr>
        <w:ind w:firstLineChars="200" w:firstLine="640"/>
        <w:rPr>
          <w:rFonts w:ascii="黑体" w:eastAsia="黑体" w:hAnsi="黑体"/>
          <w:szCs w:val="32"/>
        </w:rPr>
      </w:pPr>
    </w:p>
    <w:sectPr w:rsidR="00C15E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A4B16" w14:textId="77777777" w:rsidR="00686DE5" w:rsidRDefault="00686DE5" w:rsidP="0099623A">
      <w:r>
        <w:separator/>
      </w:r>
    </w:p>
  </w:endnote>
  <w:endnote w:type="continuationSeparator" w:id="0">
    <w:p w14:paraId="45A98C74" w14:textId="77777777" w:rsidR="00686DE5" w:rsidRDefault="00686DE5" w:rsidP="0099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6E5B" w14:textId="77777777" w:rsidR="00686DE5" w:rsidRDefault="00686DE5" w:rsidP="0099623A">
      <w:r>
        <w:separator/>
      </w:r>
    </w:p>
  </w:footnote>
  <w:footnote w:type="continuationSeparator" w:id="0">
    <w:p w14:paraId="6FE6C6E2" w14:textId="77777777" w:rsidR="00686DE5" w:rsidRDefault="00686DE5" w:rsidP="00996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2BC0"/>
    <w:rsid w:val="00130283"/>
    <w:rsid w:val="00163760"/>
    <w:rsid w:val="00172A27"/>
    <w:rsid w:val="001C490C"/>
    <w:rsid w:val="00227DEF"/>
    <w:rsid w:val="00284565"/>
    <w:rsid w:val="002B66C3"/>
    <w:rsid w:val="002C0E37"/>
    <w:rsid w:val="003472CB"/>
    <w:rsid w:val="003D24C5"/>
    <w:rsid w:val="0040382B"/>
    <w:rsid w:val="00465136"/>
    <w:rsid w:val="004B104F"/>
    <w:rsid w:val="004C75DD"/>
    <w:rsid w:val="0051427E"/>
    <w:rsid w:val="005E2B22"/>
    <w:rsid w:val="00686DE5"/>
    <w:rsid w:val="006B03B8"/>
    <w:rsid w:val="006F2BFA"/>
    <w:rsid w:val="00710E16"/>
    <w:rsid w:val="0071355E"/>
    <w:rsid w:val="00746CC6"/>
    <w:rsid w:val="007A7DCA"/>
    <w:rsid w:val="007B5000"/>
    <w:rsid w:val="008356E2"/>
    <w:rsid w:val="008654EF"/>
    <w:rsid w:val="0086713E"/>
    <w:rsid w:val="00875BC2"/>
    <w:rsid w:val="008A6F26"/>
    <w:rsid w:val="008B5943"/>
    <w:rsid w:val="008D5203"/>
    <w:rsid w:val="00924001"/>
    <w:rsid w:val="009342C9"/>
    <w:rsid w:val="00972BC2"/>
    <w:rsid w:val="00975517"/>
    <w:rsid w:val="0099623A"/>
    <w:rsid w:val="00A11514"/>
    <w:rsid w:val="00A665A7"/>
    <w:rsid w:val="00A66644"/>
    <w:rsid w:val="00B674DB"/>
    <w:rsid w:val="00B97ADD"/>
    <w:rsid w:val="00BA7CC0"/>
    <w:rsid w:val="00BB3E1F"/>
    <w:rsid w:val="00C03308"/>
    <w:rsid w:val="00C15E1D"/>
    <w:rsid w:val="00C75266"/>
    <w:rsid w:val="00CE020F"/>
    <w:rsid w:val="00E43A16"/>
    <w:rsid w:val="00EA3AD9"/>
    <w:rsid w:val="00EC0788"/>
    <w:rsid w:val="00F02732"/>
    <w:rsid w:val="00F16BFD"/>
    <w:rsid w:val="00F55787"/>
    <w:rsid w:val="00F91DC1"/>
    <w:rsid w:val="00FE27BF"/>
    <w:rsid w:val="35BB5EA4"/>
    <w:rsid w:val="39871AF3"/>
    <w:rsid w:val="421E5F56"/>
    <w:rsid w:val="57BA708F"/>
    <w:rsid w:val="58B6459B"/>
    <w:rsid w:val="75D35ACC"/>
    <w:rsid w:val="777D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846BA"/>
  <w15:docId w15:val="{ED7689AA-F5A9-4818-98E9-BC6CFC6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rPr>
      <w:kern w:val="2"/>
      <w:sz w:val="18"/>
      <w:szCs w:val="18"/>
    </w:rPr>
  </w:style>
  <w:style w:type="character" w:customStyle="1" w:styleId="a6">
    <w:name w:val="批注框文本 字符"/>
    <w:basedOn w:val="a0"/>
    <w:link w:val="a5"/>
    <w:uiPriority w:val="99"/>
    <w:semiHidden/>
    <w:rPr>
      <w:kern w:val="2"/>
      <w:sz w:val="18"/>
      <w:szCs w:val="18"/>
    </w:rPr>
  </w:style>
  <w:style w:type="character" w:customStyle="1" w:styleId="a4">
    <w:name w:val="文档结构图 字符"/>
    <w:basedOn w:val="a0"/>
    <w:link w:val="a3"/>
    <w:uiPriority w:val="99"/>
    <w:semiHidden/>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1158</Words>
  <Characters>6602</Characters>
  <Application>Microsoft Office Word</Application>
  <DocSecurity>0</DocSecurity>
  <Lines>55</Lines>
  <Paragraphs>15</Paragraphs>
  <ScaleCrop>false</ScaleCrop>
  <Company>中国石油大学</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顺安</dc:creator>
  <cp:lastModifiedBy>PJZX</cp:lastModifiedBy>
  <cp:revision>22</cp:revision>
  <dcterms:created xsi:type="dcterms:W3CDTF">2021-05-24T09:58:00Z</dcterms:created>
  <dcterms:modified xsi:type="dcterms:W3CDTF">2021-06-16T02:38:00Z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78598C7167E843A2B6FE6CC038A8E4CA</vt:lpwstr>
  </property>
</Properties>
</file>