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C2F0D63" w14:textId="77777777" w:rsidR="00B752A8" w:rsidRDefault="00787C55">
      <w:pPr>
        <w:pStyle w:val="afff7"/>
        <w:sectPr w:rsidR="00B752A8">
          <w:headerReference w:type="even" r:id="rId8"/>
          <w:headerReference w:type="default" r:id="rId9"/>
          <w:footerReference w:type="even" r:id="rId10"/>
          <w:footerReference w:type="default" r:id="rId11"/>
          <w:headerReference w:type="first" r:id="rId12"/>
          <w:footerReference w:type="first" r:id="rId13"/>
          <w:pgSz w:w="11907" w:h="16839"/>
          <w:pgMar w:top="567" w:right="851" w:bottom="1361" w:left="1418" w:header="0" w:footer="0" w:gutter="0"/>
          <w:pgNumType w:fmt="upperRoman" w:start="1"/>
          <w:cols w:space="720"/>
          <w:titlePg/>
          <w:docGrid w:type="lines" w:linePitch="312"/>
        </w:sectPr>
      </w:pPr>
      <w:bookmarkStart w:id="0" w:name="SectionMark0"/>
      <w:r>
        <w:pict w14:anchorId="2D8AADC3">
          <v:line id="_x0000_s1026" style="position:absolute;left:0;text-align:left;z-index:251668480;mso-width-relative:page;mso-height-relative:page" from="0,700pt" to="482pt,700pt" o:gfxdata="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sS+VjSAAAACgEAAA8AAAAAAAAAAQAg&#10;AAAAIgAAAGRycy9kb3ducmV2LnhtbFBLAQIUABQAAAAIAIdO4kBB5iyQ2wEAALEDAAAOAAAAAAAA&#10;AAEAIAAAACEBAABkcnMvZTJvRG9jLnhtbFBLBQYAAAAABgAGAFkBAABuBQAAAAA=&#10;" strokecolor="#800008" strokeweight="1pt"/>
        </w:pict>
      </w:r>
      <w:r>
        <w:pict w14:anchorId="3C38D50D">
          <v:line id="直线 3" o:spid="_x0000_s1035" style="position:absolute;left:0;text-align:left;z-index:251667456;mso-width-relative:page;mso-height-relative:page" from="0,179pt" to="482pt,179pt" o:gfxdata="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Eor7UAAAACAEAAA8AAAAAAAAA&#10;AQAgAAAAIgAAAGRycy9kb3ducmV2LnhtbFBLAQIUABQAAAAIAIdO4kBgDRRb3AEAALADAAAOAAAA&#10;AAAAAAEAIAAAACMBAABkcnMvZTJvRG9jLnhtbFBLBQYAAAAABgAGAFkBAABxBQAAAAA=&#10;" strokecolor="#800008" strokeweight="1pt"/>
        </w:pict>
      </w:r>
      <w:r>
        <w:pict w14:anchorId="6B522AF0">
          <v:shapetype id="_x0000_t202" coordsize="21600,21600" o:spt="202" path="m,l,21600r21600,l21600,xe">
            <v:stroke joinstyle="miter"/>
            <v:path gradientshapeok="t" o:connecttype="rect"/>
          </v:shapetype>
          <v:shape id="fmFrame7" o:spid="_x0000_s1034" type="#_x0000_t202" style="position:absolute;left:0;text-align:left;margin-left:0;margin-top:706.75pt;width:481.9pt;height:45.8pt;z-index:251666432;mso-position-horizontal-relative:margin;mso-position-vertical-relative:margin;mso-width-relative:page;mso-height-relative:page" o:gfxdata="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Vgbr2AAAAAoBAAAPAAAAAAAA&#10;AAEAIAAAACIAAABkcnMvZG93bnJldi54bWxQSwECFAAUAAAACACHTuJAdGGkAxICAAA5BAAADgAA&#10;AAAAAAABACAAAAAnAQAAZHJzL2Uyb0RvYy54bWxQSwUGAAAAAAYABgBZAQAAqwUAAAAA&#10;" stroked="f">
            <v:textbox inset="0,0,0,0">
              <w:txbxContent>
                <w:p w14:paraId="2A4DA76A" w14:textId="77777777" w:rsidR="00B752A8" w:rsidRDefault="00C46237">
                  <w:pPr>
                    <w:pStyle w:val="afff4"/>
                  </w:pPr>
                  <w:r>
                    <w:rPr>
                      <w:rFonts w:ascii="方正小标宋简体" w:eastAsia="方正小标宋简体" w:hint="eastAsia"/>
                    </w:rPr>
                    <w:t>中华人民共和国农业农村部</w:t>
                  </w:r>
                  <w:r>
                    <w:rPr>
                      <w:rFonts w:hint="eastAsia"/>
                    </w:rPr>
                    <w:t xml:space="preserve"> </w:t>
                  </w:r>
                  <w:r>
                    <w:rPr>
                      <w:rFonts w:ascii="黑体" w:eastAsia="黑体" w:hAnsi="黑体" w:hint="eastAsia"/>
                      <w:b w:val="0"/>
                      <w:bCs/>
                      <w:sz w:val="24"/>
                      <w:szCs w:val="24"/>
                    </w:rPr>
                    <w:t>发布</w:t>
                  </w:r>
                </w:p>
              </w:txbxContent>
            </v:textbox>
            <w10:wrap anchorx="margin" anchory="margin"/>
            <w10:anchorlock/>
          </v:shape>
        </w:pict>
      </w:r>
      <w:r>
        <w:pict w14:anchorId="4A462383">
          <v:shape id="fmFrame6" o:spid="_x0000_s1033" type="#_x0000_t202" style="position:absolute;left:0;text-align:left;margin-left:322.9pt;margin-top:674.3pt;width:159pt;height:24.6pt;z-index:251665408;mso-position-horizontal-relative:margin;mso-position-vertical-relative:margin;mso-width-relative:page;mso-height-relative:page"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C/arX2gAAAA0BAAAPAAAA&#10;AAAAAAEAIAAAACIAAABkcnMvZG93bnJldi54bWxQSwECFAAUAAAACACHTuJAwiRqHBMCAAA5BAAA&#10;DgAAAAAAAAABACAAAAApAQAAZHJzL2Uyb0RvYy54bWxQSwUGAAAAAAYABgBZAQAArgUAAAAA&#10;" stroked="f">
            <v:textbox inset="0,0,0,0">
              <w:txbxContent>
                <w:p w14:paraId="5D08EF41" w14:textId="77777777" w:rsidR="00B752A8" w:rsidRDefault="00C46237">
                  <w:pPr>
                    <w:pStyle w:val="afff2"/>
                    <w:ind w:firstLineChars="253" w:firstLine="708"/>
                    <w:rPr>
                      <w:rFonts w:ascii="黑体" w:hAnsi="黑体"/>
                    </w:rPr>
                  </w:pPr>
                  <w:r>
                    <w:rPr>
                      <w:rFonts w:ascii="黑体" w:hAnsi="黑体" w:hint="eastAsia"/>
                    </w:rPr>
                    <w:t>2021-</w:t>
                  </w:r>
                  <w:r>
                    <w:rPr>
                      <w:rFonts w:ascii="黑体" w:hAnsi="黑体"/>
                    </w:rPr>
                    <w:t>xx</w:t>
                  </w:r>
                  <w:r>
                    <w:rPr>
                      <w:rFonts w:ascii="黑体" w:hAnsi="黑体" w:hint="eastAsia"/>
                    </w:rPr>
                    <w:t>-</w:t>
                  </w:r>
                  <w:r>
                    <w:rPr>
                      <w:rFonts w:ascii="黑体" w:hAnsi="黑体"/>
                    </w:rPr>
                    <w:t xml:space="preserve">xx </w:t>
                  </w:r>
                  <w:r>
                    <w:rPr>
                      <w:rFonts w:ascii="黑体" w:hAnsi="黑体" w:hint="eastAsia"/>
                    </w:rPr>
                    <w:t>实施</w:t>
                  </w:r>
                </w:p>
                <w:p w14:paraId="3ACF6596" w14:textId="77777777" w:rsidR="00B752A8" w:rsidRDefault="00B752A8">
                  <w:pPr>
                    <w:pStyle w:val="afff2"/>
                    <w:ind w:firstLineChars="253" w:firstLine="708"/>
                  </w:pPr>
                </w:p>
              </w:txbxContent>
            </v:textbox>
            <w10:wrap anchorx="margin" anchory="margin"/>
            <w10:anchorlock/>
          </v:shape>
        </w:pict>
      </w:r>
      <w:r>
        <w:pict w14:anchorId="7FCD28D6">
          <v:shape id="fmFrame5" o:spid="_x0000_s1032" type="#_x0000_t202" style="position:absolute;left:0;text-align:left;margin-left:0;margin-top:674.3pt;width:159pt;height:24.6pt;z-index:251664384;mso-position-horizontal-relative:margin;mso-position-vertical-relative:margin;mso-width-relative:page;mso-height-relative:page"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zbKiNgAAAAKAQAADwAAAAAA&#10;AAABACAAAAAiAAAAZHJzL2Rvd25yZXYueG1sUEsBAhQAFAAAAAgAh07iQGsAQbwTAgAAOQQAAA4A&#10;AAAAAAAAAQAgAAAAJwEAAGRycy9lMm9Eb2MueG1sUEsFBgAAAAAGAAYAWQEAAKwFAAAAAA==&#10;" stroked="f">
            <v:textbox inset="0,0,0,0">
              <w:txbxContent>
                <w:p w14:paraId="5719CA3A" w14:textId="77777777" w:rsidR="00B752A8" w:rsidRDefault="00C46237">
                  <w:pPr>
                    <w:pStyle w:val="afff2"/>
                    <w:rPr>
                      <w:rFonts w:ascii="黑体" w:hAnsi="黑体"/>
                    </w:rPr>
                  </w:pPr>
                  <w:r>
                    <w:rPr>
                      <w:rFonts w:ascii="黑体" w:hAnsi="黑体" w:hint="eastAsia"/>
                    </w:rPr>
                    <w:t>20</w:t>
                  </w:r>
                  <w:r>
                    <w:rPr>
                      <w:rFonts w:ascii="黑体" w:hAnsi="黑体"/>
                    </w:rPr>
                    <w:t>2</w:t>
                  </w:r>
                  <w:r>
                    <w:rPr>
                      <w:rFonts w:ascii="黑体" w:hAnsi="黑体" w:hint="eastAsia"/>
                    </w:rPr>
                    <w:t>1-</w:t>
                  </w:r>
                  <w:r>
                    <w:rPr>
                      <w:rFonts w:ascii="黑体" w:hAnsi="黑体"/>
                    </w:rPr>
                    <w:t>xx</w:t>
                  </w:r>
                  <w:r>
                    <w:rPr>
                      <w:rFonts w:ascii="黑体" w:hAnsi="黑体" w:hint="eastAsia"/>
                    </w:rPr>
                    <w:t>-</w:t>
                  </w:r>
                  <w:r>
                    <w:rPr>
                      <w:rFonts w:ascii="黑体" w:hAnsi="黑体"/>
                    </w:rPr>
                    <w:t xml:space="preserve">xx </w:t>
                  </w:r>
                  <w:r>
                    <w:rPr>
                      <w:rFonts w:ascii="黑体" w:hAnsi="黑体" w:hint="eastAsia"/>
                    </w:rPr>
                    <w:t>发布</w:t>
                  </w:r>
                </w:p>
                <w:p w14:paraId="136FFDB2" w14:textId="77777777" w:rsidR="00B752A8" w:rsidRDefault="00B752A8">
                  <w:pPr>
                    <w:pStyle w:val="afff2"/>
                  </w:pPr>
                </w:p>
              </w:txbxContent>
            </v:textbox>
            <w10:wrap anchorx="margin" anchory="margin"/>
            <w10:anchorlock/>
          </v:shape>
        </w:pict>
      </w:r>
      <w:r>
        <w:pict w14:anchorId="7CA4882F">
          <v:shape id="fmFrame4" o:spid="_x0000_s1031" type="#_x0000_t202" style="position:absolute;left:0;text-align:left;margin-left:0;margin-top:286.25pt;width:470pt;height:368.6pt;z-index:251663360;mso-position-horizontal-relative:margin;mso-position-vertical-relative:margin;mso-width-relative:page;mso-height-relative:page"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FefcdgAAAAJAQAADwAA&#10;AAAAAAABACAAAAAiAAAAZHJzL2Rvd25yZXYueG1sUEsBAhQAFAAAAAgAh07iQPtWwUoWAgAAOgQA&#10;AA4AAAAAAAAAAQAgAAAAJwEAAGRycy9lMm9Eb2MueG1sUEsFBgAAAAAGAAYAWQEAAK8FAAAAAA==&#10;" stroked="f">
            <v:textbox inset="0,0,0,0">
              <w:txbxContent>
                <w:p w14:paraId="07113C54" w14:textId="77777777" w:rsidR="00B752A8" w:rsidRDefault="00C46237">
                  <w:pPr>
                    <w:pStyle w:val="affff9"/>
                  </w:pPr>
                  <w:r>
                    <w:rPr>
                      <w:rFonts w:hint="eastAsia"/>
                    </w:rPr>
                    <w:t>食用农产品产地重金属风险评估技术指南</w:t>
                  </w:r>
                </w:p>
                <w:p w14:paraId="3B441192" w14:textId="77777777" w:rsidR="00B752A8" w:rsidRDefault="00C46237">
                  <w:pPr>
                    <w:pStyle w:val="afd"/>
                    <w:rPr>
                      <w:rFonts w:ascii="黑体" w:eastAsia="黑体"/>
                      <w:b/>
                      <w:sz w:val="36"/>
                      <w:szCs w:val="28"/>
                    </w:rPr>
                  </w:pPr>
                  <w:r>
                    <w:rPr>
                      <w:rFonts w:ascii="Arial" w:eastAsia="黑体" w:hAnsi="Arial" w:cs="Arial" w:hint="eastAsia"/>
                      <w:sz w:val="36"/>
                    </w:rPr>
                    <w:t>Technical guidelines for hea</w:t>
                  </w:r>
                  <w:r>
                    <w:rPr>
                      <w:rFonts w:ascii="Arial" w:eastAsia="黑体" w:hAnsi="Arial" w:cs="Arial"/>
                      <w:sz w:val="36"/>
                    </w:rPr>
                    <w:t xml:space="preserve">vy metal risk assessment of producing area of edible agricultural </w:t>
                  </w:r>
                  <w:proofErr w:type="gramStart"/>
                  <w:r>
                    <w:rPr>
                      <w:rFonts w:ascii="Arial" w:eastAsia="黑体" w:hAnsi="Arial" w:cs="Arial"/>
                      <w:sz w:val="36"/>
                    </w:rPr>
                    <w:t>products</w:t>
                  </w:r>
                  <w:proofErr w:type="gramEnd"/>
                </w:p>
                <w:p w14:paraId="3D62EA93" w14:textId="77777777" w:rsidR="00B752A8" w:rsidRDefault="00C46237">
                  <w:pPr>
                    <w:pStyle w:val="affd"/>
                    <w:rPr>
                      <w:sz w:val="32"/>
                      <w:szCs w:val="32"/>
                    </w:rPr>
                  </w:pPr>
                  <w:r>
                    <w:rPr>
                      <w:rFonts w:hint="eastAsia"/>
                      <w:sz w:val="32"/>
                      <w:szCs w:val="32"/>
                    </w:rPr>
                    <w:t>（征求意见稿）</w:t>
                  </w:r>
                </w:p>
                <w:p w14:paraId="16CDEFC2" w14:textId="77777777" w:rsidR="00B752A8" w:rsidRDefault="00B752A8">
                  <w:pPr>
                    <w:pStyle w:val="affd"/>
                  </w:pPr>
                </w:p>
                <w:p w14:paraId="75739D98" w14:textId="77777777" w:rsidR="00B752A8" w:rsidRDefault="00B752A8">
                  <w:pPr>
                    <w:pStyle w:val="affd"/>
                  </w:pPr>
                </w:p>
                <w:p w14:paraId="6F71D24B" w14:textId="77777777" w:rsidR="00B752A8" w:rsidRDefault="00B752A8">
                  <w:pPr>
                    <w:pStyle w:val="affd"/>
                  </w:pPr>
                </w:p>
                <w:p w14:paraId="7C9D6DAB" w14:textId="77777777" w:rsidR="00B752A8" w:rsidRDefault="00C46237">
                  <w:pPr>
                    <w:ind w:rightChars="158" w:right="332"/>
                    <w:jc w:val="right"/>
                  </w:pPr>
                  <w:r>
                    <w:t xml:space="preserve">   </w:t>
                  </w:r>
                </w:p>
              </w:txbxContent>
            </v:textbox>
            <w10:wrap anchorx="margin" anchory="margin"/>
            <w10:anchorlock/>
          </v:shape>
        </w:pict>
      </w:r>
      <w:r>
        <w:pict w14:anchorId="4F096963">
          <v:shape id="fmFrame3" o:spid="_x0000_s1030" type="#_x0000_t202" style="position:absolute;left:0;text-align:left;margin-left:-.1pt;margin-top:108.45pt;width:482pt;height:67.75pt;z-index:251662336;mso-position-horizontal-relative:margin;mso-position-vertical-relative:margin;mso-width-relative:page;mso-height-relative:page" o:gfxdata="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RVeU59kAAAAJAQAADwAA&#10;AAAAAAABACAAAAAiAAAAZHJzL2Rvd25yZXYueG1sUEsBAhQAFAAAAAgAh07iQIgjjuEVAgAAOQQA&#10;AA4AAAAAAAAAAQAgAAAAKAEAAGRycy9lMm9Eb2MueG1sUEsFBgAAAAAGAAYAWQEAAK8FAAAAAA==&#10;" stroked="f">
            <v:textbox inset="0,0,0,0">
              <w:txbxContent>
                <w:p w14:paraId="19B562BA" w14:textId="77777777" w:rsidR="00B752A8" w:rsidRDefault="00B752A8"/>
                <w:p w14:paraId="5E993CDB" w14:textId="77777777" w:rsidR="00B752A8" w:rsidRDefault="00B752A8"/>
                <w:p w14:paraId="37C07BBF" w14:textId="77777777" w:rsidR="00B752A8" w:rsidRDefault="00C46237">
                  <w:pPr>
                    <w:jc w:val="right"/>
                    <w:rPr>
                      <w:rFonts w:ascii="黑体" w:eastAsia="黑体"/>
                      <w:sz w:val="28"/>
                      <w:szCs w:val="28"/>
                    </w:rPr>
                  </w:pPr>
                  <w:r>
                    <w:rPr>
                      <w:rFonts w:ascii="黑体" w:eastAsia="黑体" w:hint="eastAsia"/>
                      <w:sz w:val="28"/>
                      <w:szCs w:val="28"/>
                    </w:rPr>
                    <w:t>NY/T xxxx-2021</w:t>
                  </w:r>
                </w:p>
                <w:p w14:paraId="6E580E39" w14:textId="77777777" w:rsidR="00B752A8" w:rsidRDefault="00B752A8">
                  <w:pPr>
                    <w:jc w:val="right"/>
                  </w:pPr>
                </w:p>
              </w:txbxContent>
            </v:textbox>
            <w10:wrap anchorx="margin" anchory="margin"/>
            <w10:anchorlock/>
          </v:shape>
        </w:pict>
      </w:r>
      <w:r>
        <w:pict w14:anchorId="371CCD9D">
          <v:shape id="fmFrame8" o:spid="_x0000_s1029" type="#_x0000_t202" style="position:absolute;left:0;text-align:left;margin-left:200.75pt;margin-top:8.45pt;width:250pt;height:56.7pt;z-index:251661312;mso-position-horizontal-relative:margin;mso-position-vertical-relative:margin;mso-width-relative:page;mso-height-relative:page"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ElZOzzYAAAACgEAAA8AAAAA&#10;AAAAAQAgAAAAIgAAAGRycy9kb3ducmV2LnhtbFBLAQIUABQAAAAIAIdO4kBysZU2FAIAADkEAAAO&#10;AAAAAAAAAAEAIAAAACcBAABkcnMvZTJvRG9jLnhtbFBLBQYAAAAABgAGAFkBAACtBQAAAAA=&#10;" stroked="f">
            <v:textbox inset="0,0,0,0">
              <w:txbxContent>
                <w:p w14:paraId="3A936C6E" w14:textId="77777777" w:rsidR="00B752A8" w:rsidRDefault="00C46237">
                  <w:pPr>
                    <w:pStyle w:val="affffa"/>
                    <w:rPr>
                      <w:rFonts w:ascii="黑体" w:eastAsia="黑体" w:hAnsi="黑体"/>
                    </w:rPr>
                  </w:pPr>
                  <w:r>
                    <w:rPr>
                      <w:rFonts w:ascii="黑体" w:eastAsia="黑体" w:hAnsi="黑体" w:hint="eastAsia"/>
                    </w:rPr>
                    <w:t>NY</w:t>
                  </w:r>
                </w:p>
              </w:txbxContent>
            </v:textbox>
            <w10:wrap anchorx="margin" anchory="margin"/>
            <w10:anchorlock/>
          </v:shape>
        </w:pict>
      </w:r>
      <w:r>
        <w:pict w14:anchorId="6708C0EC">
          <v:shape id="fmFrame2" o:spid="_x0000_s1028" type="#_x0000_t202" style="position:absolute;left:0;text-align:left;margin-left:0;margin-top:79.6pt;width:481.9pt;height:30.8pt;z-index:251660288;mso-position-horizontal-relative:margin;mso-position-vertical-relative:margin;mso-width-relative:page;mso-height-relative:page"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GDkcF1wAAAAgBAAAPAAAAAAAA&#10;AAEAIAAAACIAAABkcnMvZG93bnJldi54bWxQSwECFAAUAAAACACHTuJAq/siBxMCAAA5BAAADgAA&#10;AAAAAAABACAAAAAmAQAAZHJzL2Uyb0RvYy54bWxQSwUGAAAAAAYABgBZAQAAqwUAAAAA&#10;" stroked="f">
            <v:textbox inset="0,0,0,0">
              <w:txbxContent>
                <w:p w14:paraId="34FEF8E6" w14:textId="77777777" w:rsidR="00B752A8" w:rsidRDefault="00C46237">
                  <w:pPr>
                    <w:pStyle w:val="afffa"/>
                  </w:pPr>
                  <w:r>
                    <w:rPr>
                      <w:rFonts w:hint="eastAsia"/>
                    </w:rPr>
                    <w:t>中华人民共和国农业行业标准</w:t>
                  </w:r>
                </w:p>
              </w:txbxContent>
            </v:textbox>
            <w10:wrap anchorx="margin" anchory="margin"/>
            <w10:anchorlock/>
          </v:shape>
        </w:pict>
      </w:r>
      <w:r>
        <w:pict w14:anchorId="55DE031D">
          <v:shape id="fmFrame1" o:spid="_x0000_s1027" type="#_x0000_t202" style="position:absolute;left:0;text-align:left;margin-left:-.1pt;margin-top:2.85pt;width:200pt;height:45.6pt;z-index:251659264;mso-position-horizontal-relative:margin;mso-position-vertical-relative:margin;mso-width-relative:page;mso-height-relative:page" o:gfxdata="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AsdwrLWAAAABgEAAA8AAAAAAAAA&#10;AQAgAAAAIgAAAGRycy9kb3ducmV2LnhtbFBLAQIUABQAAAAIAIdO4kB09EkDEwIAADkEAAAOAAAA&#10;AAAAAAEAIAAAACUBAABkcnMvZTJvRG9jLnhtbFBLBQYAAAAABgAGAFkBAACqBQAAAAA=&#10;" stroked="f">
            <v:textbox inset="0,0,0,0">
              <w:txbxContent>
                <w:p w14:paraId="62C077AE" w14:textId="77777777" w:rsidR="00B752A8" w:rsidRDefault="00C46237">
                  <w:pPr>
                    <w:pStyle w:val="afff0"/>
                  </w:pPr>
                  <w:r>
                    <w:rPr>
                      <w:b/>
                    </w:rPr>
                    <w:t>ICS</w:t>
                  </w:r>
                  <w:r>
                    <w:t xml:space="preserve"> 13.080.10</w:t>
                  </w:r>
                </w:p>
                <w:p w14:paraId="0CBC3EC2" w14:textId="77777777" w:rsidR="00B752A8" w:rsidRDefault="00C46237">
                  <w:pPr>
                    <w:pStyle w:val="afff0"/>
                  </w:pPr>
                  <w:r>
                    <w:rPr>
                      <w:b/>
                    </w:rPr>
                    <w:t>B</w:t>
                  </w:r>
                  <w:r>
                    <w:t xml:space="preserve"> 10</w:t>
                  </w:r>
                </w:p>
              </w:txbxContent>
            </v:textbox>
            <w10:wrap anchorx="margin" anchory="margin"/>
            <w10:anchorlock/>
          </v:shape>
        </w:pict>
      </w:r>
    </w:p>
    <w:p w14:paraId="542142F7" w14:textId="77777777" w:rsidR="00B752A8" w:rsidRDefault="00C46237">
      <w:pPr>
        <w:pStyle w:val="affe"/>
        <w:tabs>
          <w:tab w:val="clear" w:pos="360"/>
        </w:tabs>
        <w:spacing w:before="156" w:after="156"/>
        <w:jc w:val="center"/>
        <w:outlineLvl w:val="0"/>
        <w:rPr>
          <w:rFonts w:ascii="Times New Roman"/>
        </w:rPr>
      </w:pPr>
      <w:bookmarkStart w:id="1" w:name="_Toc498930632"/>
      <w:bookmarkStart w:id="2" w:name="_Toc39653560"/>
      <w:bookmarkStart w:id="3" w:name="_Toc193110580"/>
      <w:bookmarkStart w:id="4" w:name="_Toc259624025"/>
      <w:bookmarkEnd w:id="0"/>
      <w:r>
        <w:rPr>
          <w:rFonts w:ascii="Times New Roman"/>
        </w:rPr>
        <w:lastRenderedPageBreak/>
        <w:t>前</w:t>
      </w:r>
      <w:r>
        <w:rPr>
          <w:rFonts w:ascii="Times New Roman"/>
        </w:rPr>
        <w:t xml:space="preserve">    </w:t>
      </w:r>
      <w:r>
        <w:rPr>
          <w:rFonts w:ascii="Times New Roman"/>
        </w:rPr>
        <w:t>言</w:t>
      </w:r>
      <w:bookmarkEnd w:id="1"/>
      <w:bookmarkEnd w:id="2"/>
      <w:bookmarkEnd w:id="3"/>
      <w:bookmarkEnd w:id="4"/>
    </w:p>
    <w:p w14:paraId="1B12D9D2" w14:textId="77777777" w:rsidR="00B752A8" w:rsidRDefault="00C46237">
      <w:pPr>
        <w:ind w:firstLineChars="200" w:firstLine="420"/>
        <w:rPr>
          <w:kern w:val="0"/>
          <w:szCs w:val="20"/>
        </w:rPr>
      </w:pPr>
      <w:r>
        <w:rPr>
          <w:rFonts w:hint="eastAsia"/>
          <w:kern w:val="0"/>
          <w:szCs w:val="20"/>
        </w:rPr>
        <w:t>本文件按照</w:t>
      </w:r>
      <w:r>
        <w:rPr>
          <w:kern w:val="0"/>
          <w:szCs w:val="20"/>
        </w:rPr>
        <w:t>GB/T 1.1—2020</w:t>
      </w:r>
      <w:r>
        <w:rPr>
          <w:rFonts w:hint="eastAsia"/>
          <w:kern w:val="0"/>
          <w:szCs w:val="20"/>
        </w:rPr>
        <w:t>《标准化工作导则</w:t>
      </w:r>
      <w:r>
        <w:rPr>
          <w:kern w:val="0"/>
          <w:szCs w:val="20"/>
        </w:rPr>
        <w:t xml:space="preserve"> </w:t>
      </w:r>
      <w:r>
        <w:rPr>
          <w:rFonts w:hint="eastAsia"/>
          <w:kern w:val="0"/>
          <w:szCs w:val="20"/>
        </w:rPr>
        <w:t>第</w:t>
      </w:r>
      <w:r>
        <w:rPr>
          <w:kern w:val="0"/>
          <w:szCs w:val="20"/>
        </w:rPr>
        <w:t>1</w:t>
      </w:r>
      <w:r>
        <w:rPr>
          <w:rFonts w:hint="eastAsia"/>
          <w:kern w:val="0"/>
          <w:szCs w:val="20"/>
        </w:rPr>
        <w:t>部分：标准化文件的结构和起草规则》的规定起草。</w:t>
      </w:r>
    </w:p>
    <w:p w14:paraId="3D3B09D5" w14:textId="77777777" w:rsidR="00B752A8" w:rsidRDefault="00C46237">
      <w:pPr>
        <w:ind w:firstLineChars="200" w:firstLine="420"/>
        <w:rPr>
          <w:kern w:val="0"/>
          <w:szCs w:val="20"/>
        </w:rPr>
      </w:pPr>
      <w:r>
        <w:rPr>
          <w:rFonts w:hint="eastAsia"/>
          <w:kern w:val="0"/>
          <w:szCs w:val="20"/>
        </w:rPr>
        <w:t>本文件由中华人民共和国农业农村部科技教育司提出并归口。</w:t>
      </w:r>
    </w:p>
    <w:p w14:paraId="1CF5013B" w14:textId="77777777" w:rsidR="00B752A8" w:rsidRDefault="00C46237">
      <w:pPr>
        <w:ind w:firstLineChars="200" w:firstLine="420"/>
        <w:rPr>
          <w:kern w:val="0"/>
          <w:szCs w:val="20"/>
        </w:rPr>
      </w:pPr>
      <w:r>
        <w:rPr>
          <w:rFonts w:hint="eastAsia"/>
          <w:kern w:val="0"/>
          <w:szCs w:val="20"/>
        </w:rPr>
        <w:t>本文件起草单位：农业农村部农业生态与资源保护总站、广东省科学院生态环境与土壤研究所、生态环境部土壤与农业农村监管技术中心、农业农村部环境保护科研监测所、生态环境部南京环境科学研究所、中国农业科学院农业资源与农业区划研究所、中国科学院地理科学与资源研究所、湖南省农业环境生态研究所</w:t>
      </w:r>
    </w:p>
    <w:p w14:paraId="7E3CE788" w14:textId="77777777" w:rsidR="00B752A8" w:rsidRDefault="00C46237">
      <w:pPr>
        <w:ind w:firstLineChars="200" w:firstLine="420"/>
        <w:rPr>
          <w:kern w:val="0"/>
          <w:szCs w:val="20"/>
        </w:rPr>
      </w:pPr>
      <w:r>
        <w:rPr>
          <w:rFonts w:hint="eastAsia"/>
          <w:kern w:val="0"/>
          <w:szCs w:val="20"/>
        </w:rPr>
        <w:t>本文件主要起草人：</w:t>
      </w:r>
    </w:p>
    <w:p w14:paraId="018B47F8" w14:textId="77777777" w:rsidR="00B752A8" w:rsidRDefault="00B752A8"/>
    <w:p w14:paraId="57549670" w14:textId="77777777" w:rsidR="00B752A8" w:rsidRDefault="00B752A8">
      <w:pPr>
        <w:sectPr w:rsidR="00B752A8">
          <w:footerReference w:type="default" r:id="rId14"/>
          <w:pgSz w:w="11907" w:h="16839"/>
          <w:pgMar w:top="1418" w:right="1134" w:bottom="1134" w:left="1418" w:header="1418" w:footer="851" w:gutter="0"/>
          <w:pgNumType w:start="1"/>
          <w:cols w:space="720"/>
          <w:docGrid w:type="lines" w:linePitch="312"/>
        </w:sectPr>
      </w:pPr>
    </w:p>
    <w:p w14:paraId="631C1A02" w14:textId="77777777" w:rsidR="00B752A8" w:rsidRDefault="00C46237">
      <w:pPr>
        <w:jc w:val="center"/>
        <w:rPr>
          <w:rFonts w:eastAsia="黑体"/>
          <w:sz w:val="32"/>
          <w:szCs w:val="32"/>
        </w:rPr>
      </w:pPr>
      <w:r>
        <w:rPr>
          <w:rFonts w:eastAsia="黑体" w:hint="eastAsia"/>
          <w:sz w:val="32"/>
          <w:szCs w:val="32"/>
        </w:rPr>
        <w:lastRenderedPageBreak/>
        <w:t>食用农产品产地重金属风险评估技术指南</w:t>
      </w:r>
    </w:p>
    <w:p w14:paraId="481EA36E" w14:textId="77777777" w:rsidR="00B752A8" w:rsidRDefault="00C46237">
      <w:pPr>
        <w:pStyle w:val="affe"/>
        <w:tabs>
          <w:tab w:val="clear" w:pos="360"/>
        </w:tabs>
        <w:spacing w:beforeLines="100" w:before="312" w:afterLines="100" w:after="312"/>
        <w:outlineLvl w:val="0"/>
        <w:rPr>
          <w:rFonts w:hAnsi="黑体" w:cs="黑体"/>
        </w:rPr>
      </w:pPr>
      <w:bookmarkStart w:id="5" w:name="_Toc39653561"/>
      <w:bookmarkStart w:id="6" w:name="_Toc259624026"/>
      <w:bookmarkStart w:id="7" w:name="_Toc498930633"/>
      <w:r>
        <w:rPr>
          <w:rFonts w:hAnsi="黑体" w:cs="黑体" w:hint="eastAsia"/>
        </w:rPr>
        <w:t>1  范围</w:t>
      </w:r>
      <w:bookmarkEnd w:id="5"/>
      <w:bookmarkEnd w:id="6"/>
      <w:bookmarkEnd w:id="7"/>
    </w:p>
    <w:p w14:paraId="5A709198" w14:textId="77777777" w:rsidR="00B752A8" w:rsidRDefault="00C46237">
      <w:pPr>
        <w:adjustRightInd w:val="0"/>
        <w:snapToGrid w:val="0"/>
        <w:ind w:firstLineChars="200" w:firstLine="420"/>
        <w:rPr>
          <w:color w:val="333333"/>
          <w:kern w:val="0"/>
          <w:szCs w:val="21"/>
        </w:rPr>
      </w:pPr>
      <w:r>
        <w:rPr>
          <w:rFonts w:hint="eastAsia"/>
          <w:color w:val="333333"/>
          <w:kern w:val="0"/>
          <w:szCs w:val="21"/>
        </w:rPr>
        <w:t>本文件规定了食用农产品产地重金属风险评估的基本原则、技术路线、内容、方法和要求。</w:t>
      </w:r>
    </w:p>
    <w:p w14:paraId="2B8E5DDF" w14:textId="77777777" w:rsidR="00B752A8" w:rsidRDefault="00C46237">
      <w:pPr>
        <w:adjustRightInd w:val="0"/>
        <w:snapToGrid w:val="0"/>
        <w:ind w:firstLineChars="200" w:firstLine="420"/>
        <w:rPr>
          <w:color w:val="333333"/>
          <w:kern w:val="0"/>
          <w:szCs w:val="21"/>
        </w:rPr>
      </w:pPr>
      <w:r>
        <w:rPr>
          <w:rFonts w:hint="eastAsia"/>
          <w:color w:val="333333"/>
          <w:kern w:val="0"/>
          <w:szCs w:val="21"/>
        </w:rPr>
        <w:t>本文件适用于</w:t>
      </w:r>
      <w:r>
        <w:rPr>
          <w:color w:val="333333"/>
          <w:szCs w:val="21"/>
        </w:rPr>
        <w:t>水稻、小麦、玉米、蔬菜</w:t>
      </w:r>
      <w:r>
        <w:rPr>
          <w:rFonts w:hint="eastAsia"/>
          <w:color w:val="333333"/>
          <w:szCs w:val="21"/>
        </w:rPr>
        <w:t>、水果</w:t>
      </w:r>
      <w:r>
        <w:rPr>
          <w:color w:val="333333"/>
          <w:szCs w:val="21"/>
        </w:rPr>
        <w:t>等植物</w:t>
      </w:r>
      <w:r>
        <w:rPr>
          <w:rFonts w:hint="eastAsia"/>
          <w:color w:val="333333"/>
          <w:szCs w:val="21"/>
        </w:rPr>
        <w:t>类</w:t>
      </w:r>
      <w:r>
        <w:rPr>
          <w:rFonts w:hint="eastAsia"/>
          <w:color w:val="333333"/>
          <w:kern w:val="0"/>
          <w:szCs w:val="21"/>
        </w:rPr>
        <w:t>食用农产品产地重金属风险评估。</w:t>
      </w:r>
    </w:p>
    <w:p w14:paraId="0FB3EBD6" w14:textId="77777777" w:rsidR="00B752A8" w:rsidRDefault="00C46237">
      <w:pPr>
        <w:pStyle w:val="affe"/>
        <w:tabs>
          <w:tab w:val="clear" w:pos="360"/>
        </w:tabs>
        <w:spacing w:beforeLines="100" w:before="312" w:afterLines="100" w:after="312"/>
        <w:outlineLvl w:val="0"/>
        <w:rPr>
          <w:rFonts w:hAnsi="黑体" w:cs="黑体"/>
          <w:szCs w:val="22"/>
        </w:rPr>
      </w:pPr>
      <w:bookmarkStart w:id="8" w:name="_Toc39653562"/>
      <w:bookmarkStart w:id="9" w:name="_Toc259624027"/>
      <w:bookmarkStart w:id="10" w:name="_Toc498930634"/>
      <w:r>
        <w:rPr>
          <w:rFonts w:hAnsi="黑体" w:cs="黑体" w:hint="eastAsia"/>
          <w:szCs w:val="22"/>
        </w:rPr>
        <w:t>2  规范性引用文件</w:t>
      </w:r>
      <w:bookmarkEnd w:id="8"/>
      <w:bookmarkEnd w:id="9"/>
      <w:bookmarkEnd w:id="10"/>
    </w:p>
    <w:p w14:paraId="046B3096" w14:textId="77777777" w:rsidR="00B752A8" w:rsidRDefault="00C46237">
      <w:pPr>
        <w:widowControl w:val="0"/>
        <w:ind w:firstLineChars="196" w:firstLine="412"/>
        <w:rPr>
          <w:szCs w:val="21"/>
        </w:rPr>
      </w:pPr>
      <w:bookmarkStart w:id="11" w:name="OLE_LINK13"/>
      <w:bookmarkStart w:id="12" w:name="OLE_LINK12"/>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bookmarkStart w:id="13" w:name="_Toc498930635"/>
      <w:bookmarkStart w:id="14" w:name="_Toc259624028"/>
      <w:bookmarkEnd w:id="11"/>
      <w:bookmarkEnd w:id="12"/>
    </w:p>
    <w:p w14:paraId="1F3394AE" w14:textId="77777777" w:rsidR="00B752A8" w:rsidRDefault="00C46237">
      <w:pPr>
        <w:widowControl w:val="0"/>
        <w:ind w:firstLineChars="196" w:firstLine="412"/>
        <w:rPr>
          <w:color w:val="333333"/>
          <w:szCs w:val="21"/>
        </w:rPr>
      </w:pPr>
      <w:r>
        <w:rPr>
          <w:rFonts w:hint="eastAsia"/>
          <w:color w:val="333333"/>
          <w:szCs w:val="21"/>
        </w:rPr>
        <w:t>G</w:t>
      </w:r>
      <w:r>
        <w:rPr>
          <w:color w:val="333333"/>
          <w:szCs w:val="21"/>
        </w:rPr>
        <w:t>B 15618</w:t>
      </w:r>
      <w:r>
        <w:rPr>
          <w:rFonts w:hint="eastAsia"/>
          <w:color w:val="333333"/>
          <w:szCs w:val="21"/>
        </w:rPr>
        <w:t xml:space="preserve">-2018 </w:t>
      </w:r>
      <w:r>
        <w:rPr>
          <w:color w:val="333333"/>
          <w:szCs w:val="21"/>
        </w:rPr>
        <w:t xml:space="preserve"> </w:t>
      </w:r>
      <w:r>
        <w:rPr>
          <w:rFonts w:hint="eastAsia"/>
          <w:color w:val="333333"/>
          <w:szCs w:val="21"/>
        </w:rPr>
        <w:t xml:space="preserve"> </w:t>
      </w:r>
      <w:r>
        <w:rPr>
          <w:rFonts w:hint="eastAsia"/>
          <w:color w:val="333333"/>
          <w:szCs w:val="21"/>
        </w:rPr>
        <w:t>土壤环境质量</w:t>
      </w:r>
      <w:r>
        <w:rPr>
          <w:rFonts w:hint="eastAsia"/>
          <w:color w:val="333333"/>
          <w:szCs w:val="21"/>
        </w:rPr>
        <w:t xml:space="preserve"> </w:t>
      </w:r>
      <w:r>
        <w:rPr>
          <w:rFonts w:hint="eastAsia"/>
          <w:color w:val="333333"/>
          <w:szCs w:val="21"/>
        </w:rPr>
        <w:t>农用地土壤污染风险管控标准（试行）</w:t>
      </w:r>
    </w:p>
    <w:p w14:paraId="18DB94CE" w14:textId="77777777" w:rsidR="00B752A8" w:rsidRDefault="00C46237">
      <w:pPr>
        <w:widowControl w:val="0"/>
        <w:ind w:firstLineChars="196" w:firstLine="412"/>
        <w:rPr>
          <w:color w:val="333333"/>
          <w:szCs w:val="21"/>
        </w:rPr>
      </w:pPr>
      <w:r>
        <w:rPr>
          <w:rFonts w:hint="eastAsia"/>
          <w:color w:val="333333"/>
          <w:szCs w:val="21"/>
        </w:rPr>
        <w:t>GB 2762</w:t>
      </w:r>
      <w:r>
        <w:rPr>
          <w:rFonts w:hint="eastAsia"/>
          <w:color w:val="333333"/>
          <w:spacing w:val="-2"/>
          <w:szCs w:val="21"/>
        </w:rPr>
        <w:t xml:space="preserve">        </w:t>
      </w:r>
      <w:r>
        <w:rPr>
          <w:color w:val="333333"/>
          <w:spacing w:val="-2"/>
          <w:szCs w:val="21"/>
        </w:rPr>
        <w:t xml:space="preserve"> </w:t>
      </w:r>
      <w:r>
        <w:rPr>
          <w:rFonts w:hint="eastAsia"/>
          <w:color w:val="333333"/>
          <w:szCs w:val="21"/>
        </w:rPr>
        <w:t>食品安全国家标准</w:t>
      </w:r>
      <w:r>
        <w:rPr>
          <w:rFonts w:hint="eastAsia"/>
          <w:color w:val="333333"/>
          <w:szCs w:val="21"/>
        </w:rPr>
        <w:t xml:space="preserve"> </w:t>
      </w:r>
      <w:r>
        <w:rPr>
          <w:rFonts w:hint="eastAsia"/>
          <w:color w:val="333333"/>
          <w:szCs w:val="21"/>
        </w:rPr>
        <w:t>食品中污染物限量</w:t>
      </w:r>
    </w:p>
    <w:p w14:paraId="3AE86227" w14:textId="77777777" w:rsidR="00B752A8" w:rsidRDefault="00C46237">
      <w:pPr>
        <w:widowControl w:val="0"/>
        <w:ind w:firstLineChars="196" w:firstLine="412"/>
        <w:rPr>
          <w:color w:val="333333"/>
          <w:szCs w:val="21"/>
        </w:rPr>
      </w:pPr>
      <w:r>
        <w:rPr>
          <w:rFonts w:hint="eastAsia"/>
          <w:color w:val="333333"/>
          <w:szCs w:val="21"/>
        </w:rPr>
        <w:t xml:space="preserve">GB/T </w:t>
      </w:r>
      <w:r>
        <w:rPr>
          <w:color w:val="333333"/>
          <w:szCs w:val="21"/>
        </w:rPr>
        <w:t xml:space="preserve">17136      </w:t>
      </w:r>
      <w:r>
        <w:rPr>
          <w:rFonts w:hint="eastAsia"/>
          <w:color w:val="333333"/>
          <w:szCs w:val="21"/>
        </w:rPr>
        <w:t>土壤质量</w:t>
      </w:r>
      <w:r>
        <w:rPr>
          <w:rFonts w:hint="eastAsia"/>
          <w:color w:val="333333"/>
          <w:szCs w:val="21"/>
        </w:rPr>
        <w:t xml:space="preserve"> </w:t>
      </w:r>
      <w:r>
        <w:rPr>
          <w:rFonts w:hint="eastAsia"/>
          <w:color w:val="333333"/>
          <w:szCs w:val="21"/>
        </w:rPr>
        <w:t>总汞的测定</w:t>
      </w:r>
      <w:r>
        <w:rPr>
          <w:rFonts w:hint="eastAsia"/>
          <w:color w:val="333333"/>
          <w:szCs w:val="21"/>
        </w:rPr>
        <w:t xml:space="preserve"> </w:t>
      </w:r>
      <w:r>
        <w:rPr>
          <w:rFonts w:hint="eastAsia"/>
          <w:color w:val="333333"/>
          <w:szCs w:val="21"/>
        </w:rPr>
        <w:t>冷原子吸收分光光度法</w:t>
      </w:r>
    </w:p>
    <w:p w14:paraId="000A384E" w14:textId="77777777" w:rsidR="00B752A8" w:rsidRDefault="00C46237">
      <w:pPr>
        <w:widowControl w:val="0"/>
        <w:ind w:firstLineChars="196" w:firstLine="412"/>
        <w:rPr>
          <w:color w:val="333333"/>
          <w:szCs w:val="21"/>
        </w:rPr>
      </w:pPr>
      <w:r>
        <w:rPr>
          <w:rFonts w:hint="eastAsia"/>
          <w:color w:val="333333"/>
          <w:szCs w:val="21"/>
        </w:rPr>
        <w:t xml:space="preserve">GB/T </w:t>
      </w:r>
      <w:r>
        <w:rPr>
          <w:color w:val="333333"/>
          <w:szCs w:val="21"/>
        </w:rPr>
        <w:t xml:space="preserve">17139      </w:t>
      </w:r>
      <w:r>
        <w:rPr>
          <w:rFonts w:hint="eastAsia"/>
          <w:color w:val="333333"/>
          <w:szCs w:val="21"/>
        </w:rPr>
        <w:t>土壤质量</w:t>
      </w:r>
      <w:r>
        <w:rPr>
          <w:rFonts w:hint="eastAsia"/>
          <w:color w:val="333333"/>
          <w:szCs w:val="21"/>
        </w:rPr>
        <w:t xml:space="preserve"> </w:t>
      </w:r>
      <w:r>
        <w:rPr>
          <w:rFonts w:hint="eastAsia"/>
          <w:color w:val="333333"/>
          <w:szCs w:val="21"/>
        </w:rPr>
        <w:t>镍的测定</w:t>
      </w:r>
      <w:r>
        <w:rPr>
          <w:rFonts w:hint="eastAsia"/>
          <w:color w:val="333333"/>
          <w:szCs w:val="21"/>
        </w:rPr>
        <w:t xml:space="preserve"> </w:t>
      </w:r>
      <w:r>
        <w:rPr>
          <w:rFonts w:hint="eastAsia"/>
          <w:color w:val="333333"/>
          <w:szCs w:val="21"/>
        </w:rPr>
        <w:t>火焰原子吸收分光光度法</w:t>
      </w:r>
    </w:p>
    <w:p w14:paraId="231EBC6A" w14:textId="77777777" w:rsidR="00B752A8" w:rsidRDefault="00C46237">
      <w:pPr>
        <w:widowControl w:val="0"/>
        <w:ind w:firstLineChars="196" w:firstLine="412"/>
        <w:rPr>
          <w:color w:val="333333"/>
          <w:szCs w:val="21"/>
        </w:rPr>
      </w:pPr>
      <w:r>
        <w:rPr>
          <w:rFonts w:hint="eastAsia"/>
          <w:color w:val="333333"/>
          <w:szCs w:val="21"/>
        </w:rPr>
        <w:t xml:space="preserve">GB/T </w:t>
      </w:r>
      <w:r>
        <w:rPr>
          <w:color w:val="333333"/>
          <w:szCs w:val="21"/>
        </w:rPr>
        <w:t>17141</w:t>
      </w:r>
      <w:r>
        <w:rPr>
          <w:rFonts w:hint="eastAsia"/>
          <w:color w:val="333333"/>
          <w:szCs w:val="21"/>
        </w:rPr>
        <w:t xml:space="preserve">      </w:t>
      </w:r>
      <w:r>
        <w:rPr>
          <w:rFonts w:hint="eastAsia"/>
          <w:color w:val="333333"/>
          <w:szCs w:val="21"/>
        </w:rPr>
        <w:t>土壤质量</w:t>
      </w:r>
      <w:r>
        <w:rPr>
          <w:rFonts w:hint="eastAsia"/>
          <w:color w:val="333333"/>
          <w:szCs w:val="21"/>
        </w:rPr>
        <w:t xml:space="preserve"> </w:t>
      </w:r>
      <w:r>
        <w:rPr>
          <w:rFonts w:hint="eastAsia"/>
          <w:color w:val="333333"/>
          <w:szCs w:val="21"/>
        </w:rPr>
        <w:t>铅、镉的测定</w:t>
      </w:r>
      <w:r>
        <w:rPr>
          <w:rFonts w:hint="eastAsia"/>
          <w:color w:val="333333"/>
          <w:szCs w:val="21"/>
        </w:rPr>
        <w:t xml:space="preserve"> </w:t>
      </w:r>
      <w:r>
        <w:rPr>
          <w:rFonts w:hint="eastAsia"/>
          <w:color w:val="333333"/>
          <w:szCs w:val="21"/>
        </w:rPr>
        <w:t>石墨炉原子吸收分光光度法</w:t>
      </w:r>
    </w:p>
    <w:p w14:paraId="6D2EEB33" w14:textId="77777777" w:rsidR="00B752A8" w:rsidRDefault="00C46237">
      <w:pPr>
        <w:widowControl w:val="0"/>
        <w:ind w:firstLineChars="196" w:firstLine="412"/>
        <w:rPr>
          <w:color w:val="333333"/>
          <w:szCs w:val="21"/>
        </w:rPr>
      </w:pPr>
      <w:r>
        <w:rPr>
          <w:rFonts w:hint="eastAsia"/>
          <w:color w:val="333333"/>
          <w:szCs w:val="21"/>
        </w:rPr>
        <w:t xml:space="preserve">GB/T </w:t>
      </w:r>
      <w:r>
        <w:rPr>
          <w:color w:val="333333"/>
          <w:szCs w:val="21"/>
        </w:rPr>
        <w:t xml:space="preserve">22105      </w:t>
      </w:r>
      <w:r>
        <w:rPr>
          <w:rFonts w:hint="eastAsia"/>
          <w:color w:val="333333"/>
          <w:szCs w:val="21"/>
        </w:rPr>
        <w:t>土壤质量</w:t>
      </w:r>
      <w:r>
        <w:rPr>
          <w:rFonts w:hint="eastAsia"/>
          <w:color w:val="333333"/>
          <w:szCs w:val="21"/>
        </w:rPr>
        <w:t xml:space="preserve"> </w:t>
      </w:r>
      <w:r>
        <w:rPr>
          <w:rFonts w:hint="eastAsia"/>
          <w:color w:val="333333"/>
          <w:szCs w:val="21"/>
        </w:rPr>
        <w:t>总汞、总砷、</w:t>
      </w:r>
      <w:proofErr w:type="gramStart"/>
      <w:r>
        <w:rPr>
          <w:rFonts w:hint="eastAsia"/>
          <w:color w:val="333333"/>
          <w:szCs w:val="21"/>
        </w:rPr>
        <w:t>总铅的</w:t>
      </w:r>
      <w:proofErr w:type="gramEnd"/>
      <w:r>
        <w:rPr>
          <w:rFonts w:hint="eastAsia"/>
          <w:color w:val="333333"/>
          <w:szCs w:val="21"/>
        </w:rPr>
        <w:t>测定</w:t>
      </w:r>
      <w:r>
        <w:rPr>
          <w:rFonts w:hint="eastAsia"/>
          <w:color w:val="333333"/>
          <w:szCs w:val="21"/>
        </w:rPr>
        <w:t xml:space="preserve"> </w:t>
      </w:r>
      <w:r>
        <w:rPr>
          <w:rFonts w:hint="eastAsia"/>
          <w:color w:val="333333"/>
          <w:szCs w:val="21"/>
        </w:rPr>
        <w:t>原子荧光法</w:t>
      </w:r>
    </w:p>
    <w:p w14:paraId="3C01EFF3" w14:textId="77777777" w:rsidR="00B752A8" w:rsidRDefault="00C46237">
      <w:pPr>
        <w:widowControl w:val="0"/>
        <w:ind w:firstLineChars="196" w:firstLine="412"/>
        <w:rPr>
          <w:color w:val="333333"/>
          <w:szCs w:val="21"/>
        </w:rPr>
      </w:pPr>
      <w:r>
        <w:rPr>
          <w:rFonts w:hint="eastAsia"/>
          <w:color w:val="333333"/>
          <w:szCs w:val="21"/>
        </w:rPr>
        <w:t xml:space="preserve">NY/T </w:t>
      </w:r>
      <w:r>
        <w:rPr>
          <w:color w:val="333333"/>
          <w:szCs w:val="21"/>
        </w:rPr>
        <w:t xml:space="preserve">395 </w:t>
      </w:r>
      <w:r>
        <w:rPr>
          <w:rFonts w:hint="eastAsia"/>
          <w:color w:val="333333"/>
          <w:szCs w:val="21"/>
        </w:rPr>
        <w:t xml:space="preserve">       </w:t>
      </w:r>
      <w:r>
        <w:rPr>
          <w:rFonts w:hint="eastAsia"/>
          <w:color w:val="333333"/>
          <w:szCs w:val="21"/>
        </w:rPr>
        <w:t>农田土壤环境质量监测技术规范</w:t>
      </w:r>
    </w:p>
    <w:p w14:paraId="315F10D3" w14:textId="77777777" w:rsidR="00B752A8" w:rsidRDefault="00C46237">
      <w:pPr>
        <w:widowControl w:val="0"/>
        <w:ind w:firstLineChars="196" w:firstLine="412"/>
        <w:rPr>
          <w:color w:val="333333"/>
          <w:szCs w:val="21"/>
        </w:rPr>
      </w:pPr>
      <w:r>
        <w:rPr>
          <w:rFonts w:hint="eastAsia"/>
          <w:color w:val="333333"/>
          <w:szCs w:val="21"/>
        </w:rPr>
        <w:t xml:space="preserve">NY/T 398        </w:t>
      </w:r>
      <w:r>
        <w:rPr>
          <w:rFonts w:hint="eastAsia"/>
          <w:color w:val="333333"/>
          <w:szCs w:val="21"/>
        </w:rPr>
        <w:t>农、畜、水产品污染监测技术规范</w:t>
      </w:r>
    </w:p>
    <w:p w14:paraId="2715366F" w14:textId="77777777" w:rsidR="00B752A8" w:rsidRDefault="00C46237">
      <w:pPr>
        <w:widowControl w:val="0"/>
        <w:ind w:firstLineChars="196" w:firstLine="412"/>
        <w:rPr>
          <w:color w:val="333333"/>
          <w:szCs w:val="21"/>
        </w:rPr>
      </w:pPr>
      <w:r>
        <w:rPr>
          <w:color w:val="333333"/>
          <w:szCs w:val="21"/>
        </w:rPr>
        <w:t>HJ</w:t>
      </w:r>
      <w:r>
        <w:rPr>
          <w:rFonts w:hint="eastAsia"/>
          <w:color w:val="333333"/>
          <w:szCs w:val="21"/>
        </w:rPr>
        <w:t xml:space="preserve"> </w:t>
      </w:r>
      <w:r>
        <w:rPr>
          <w:color w:val="333333"/>
          <w:szCs w:val="21"/>
        </w:rPr>
        <w:t xml:space="preserve">491          </w:t>
      </w:r>
      <w:r>
        <w:rPr>
          <w:rFonts w:hint="eastAsia"/>
          <w:color w:val="333333"/>
          <w:szCs w:val="21"/>
        </w:rPr>
        <w:t>土壤和沉积物</w:t>
      </w:r>
      <w:r>
        <w:rPr>
          <w:rFonts w:hint="eastAsia"/>
          <w:color w:val="333333"/>
          <w:szCs w:val="21"/>
        </w:rPr>
        <w:t xml:space="preserve"> </w:t>
      </w:r>
      <w:r>
        <w:rPr>
          <w:rFonts w:hint="eastAsia"/>
          <w:color w:val="333333"/>
          <w:szCs w:val="21"/>
        </w:rPr>
        <w:t>铜、锌、铅、镍、铬的测定</w:t>
      </w:r>
      <w:r>
        <w:rPr>
          <w:rFonts w:hint="eastAsia"/>
          <w:color w:val="333333"/>
          <w:szCs w:val="21"/>
        </w:rPr>
        <w:t xml:space="preserve"> </w:t>
      </w:r>
      <w:r>
        <w:rPr>
          <w:rFonts w:hint="eastAsia"/>
          <w:color w:val="333333"/>
          <w:szCs w:val="21"/>
        </w:rPr>
        <w:t>火焰原子吸收分光光度法</w:t>
      </w:r>
    </w:p>
    <w:p w14:paraId="73D61A9C" w14:textId="77777777" w:rsidR="00B752A8" w:rsidRDefault="00C46237">
      <w:pPr>
        <w:widowControl w:val="0"/>
        <w:ind w:firstLineChars="196" w:firstLine="412"/>
        <w:rPr>
          <w:color w:val="333333"/>
          <w:szCs w:val="21"/>
        </w:rPr>
      </w:pPr>
      <w:r>
        <w:rPr>
          <w:color w:val="333333"/>
          <w:szCs w:val="21"/>
        </w:rPr>
        <w:t>HJ</w:t>
      </w:r>
      <w:r>
        <w:rPr>
          <w:rFonts w:hint="eastAsia"/>
          <w:color w:val="333333"/>
          <w:szCs w:val="21"/>
        </w:rPr>
        <w:t xml:space="preserve"> </w:t>
      </w:r>
      <w:r>
        <w:rPr>
          <w:color w:val="333333"/>
          <w:szCs w:val="21"/>
        </w:rPr>
        <w:t xml:space="preserve">680          </w:t>
      </w:r>
      <w:r>
        <w:rPr>
          <w:rFonts w:hint="eastAsia"/>
          <w:color w:val="333333"/>
          <w:szCs w:val="21"/>
        </w:rPr>
        <w:t>土壤和沉积物</w:t>
      </w:r>
      <w:r>
        <w:rPr>
          <w:rFonts w:hint="eastAsia"/>
          <w:color w:val="333333"/>
          <w:szCs w:val="21"/>
        </w:rPr>
        <w:t xml:space="preserve"> </w:t>
      </w:r>
      <w:r>
        <w:rPr>
          <w:rFonts w:hint="eastAsia"/>
          <w:color w:val="333333"/>
          <w:szCs w:val="21"/>
        </w:rPr>
        <w:t>汞、砷、硒、铋、锑的测定</w:t>
      </w:r>
      <w:r>
        <w:rPr>
          <w:rFonts w:hint="eastAsia"/>
          <w:color w:val="333333"/>
          <w:szCs w:val="21"/>
        </w:rPr>
        <w:t xml:space="preserve"> </w:t>
      </w:r>
      <w:r>
        <w:rPr>
          <w:rFonts w:hint="eastAsia"/>
          <w:color w:val="333333"/>
          <w:szCs w:val="21"/>
        </w:rPr>
        <w:t>微波消解</w:t>
      </w:r>
      <w:r>
        <w:rPr>
          <w:rFonts w:hint="eastAsia"/>
          <w:color w:val="333333"/>
          <w:szCs w:val="21"/>
        </w:rPr>
        <w:t>/</w:t>
      </w:r>
      <w:r>
        <w:rPr>
          <w:rFonts w:hint="eastAsia"/>
          <w:color w:val="333333"/>
          <w:szCs w:val="21"/>
        </w:rPr>
        <w:t>原子荧光法</w:t>
      </w:r>
    </w:p>
    <w:p w14:paraId="77C7CE27" w14:textId="77777777" w:rsidR="00B752A8" w:rsidRDefault="00C46237">
      <w:pPr>
        <w:widowControl w:val="0"/>
        <w:ind w:firstLineChars="193" w:firstLine="405"/>
        <w:rPr>
          <w:color w:val="333333"/>
          <w:szCs w:val="21"/>
        </w:rPr>
      </w:pPr>
      <w:r>
        <w:rPr>
          <w:color w:val="333333"/>
          <w:szCs w:val="21"/>
        </w:rPr>
        <w:t>HJ</w:t>
      </w:r>
      <w:r>
        <w:rPr>
          <w:rFonts w:hint="eastAsia"/>
          <w:color w:val="333333"/>
          <w:szCs w:val="21"/>
        </w:rPr>
        <w:t xml:space="preserve"> </w:t>
      </w:r>
      <w:r>
        <w:rPr>
          <w:color w:val="333333"/>
          <w:szCs w:val="21"/>
        </w:rPr>
        <w:t xml:space="preserve">780          </w:t>
      </w:r>
      <w:r>
        <w:rPr>
          <w:rFonts w:hint="eastAsia"/>
          <w:color w:val="333333"/>
          <w:szCs w:val="21"/>
        </w:rPr>
        <w:t>无机元素的测定</w:t>
      </w:r>
      <w:r>
        <w:rPr>
          <w:rFonts w:hint="eastAsia"/>
          <w:color w:val="333333"/>
          <w:szCs w:val="21"/>
        </w:rPr>
        <w:t xml:space="preserve"> </w:t>
      </w:r>
      <w:r>
        <w:rPr>
          <w:rFonts w:hint="eastAsia"/>
          <w:color w:val="333333"/>
          <w:szCs w:val="21"/>
        </w:rPr>
        <w:t>波长色散</w:t>
      </w:r>
      <w:r>
        <w:rPr>
          <w:rFonts w:hint="eastAsia"/>
          <w:color w:val="333333"/>
          <w:szCs w:val="21"/>
        </w:rPr>
        <w:t>X</w:t>
      </w:r>
      <w:r>
        <w:rPr>
          <w:rFonts w:hint="eastAsia"/>
          <w:color w:val="333333"/>
          <w:szCs w:val="21"/>
        </w:rPr>
        <w:t>射线荧光光谱法</w:t>
      </w:r>
    </w:p>
    <w:p w14:paraId="473C9532" w14:textId="77777777" w:rsidR="00B752A8" w:rsidRDefault="00C46237">
      <w:pPr>
        <w:widowControl w:val="0"/>
        <w:ind w:leftChars="187" w:left="2086" w:hangingChars="806" w:hanging="1693"/>
        <w:rPr>
          <w:color w:val="333333"/>
          <w:szCs w:val="21"/>
        </w:rPr>
      </w:pPr>
      <w:r>
        <w:rPr>
          <w:color w:val="333333"/>
          <w:szCs w:val="21"/>
        </w:rPr>
        <w:t>HJ</w:t>
      </w:r>
      <w:r>
        <w:rPr>
          <w:rFonts w:hint="eastAsia"/>
          <w:color w:val="333333"/>
          <w:szCs w:val="21"/>
        </w:rPr>
        <w:t xml:space="preserve"> </w:t>
      </w:r>
      <w:r>
        <w:rPr>
          <w:color w:val="333333"/>
          <w:szCs w:val="21"/>
        </w:rPr>
        <w:t xml:space="preserve">803          </w:t>
      </w:r>
      <w:r>
        <w:rPr>
          <w:rFonts w:hint="eastAsia"/>
          <w:color w:val="333333"/>
          <w:szCs w:val="21"/>
        </w:rPr>
        <w:t>土壤和沉积物</w:t>
      </w:r>
      <w:r>
        <w:rPr>
          <w:rFonts w:hint="eastAsia"/>
          <w:color w:val="333333"/>
          <w:szCs w:val="21"/>
        </w:rPr>
        <w:t>12</w:t>
      </w:r>
      <w:r>
        <w:rPr>
          <w:rFonts w:hint="eastAsia"/>
          <w:color w:val="333333"/>
          <w:szCs w:val="21"/>
        </w:rPr>
        <w:t>种金属元素的测定</w:t>
      </w:r>
      <w:r>
        <w:rPr>
          <w:rFonts w:hint="eastAsia"/>
          <w:color w:val="333333"/>
          <w:szCs w:val="21"/>
        </w:rPr>
        <w:t xml:space="preserve"> </w:t>
      </w:r>
      <w:r>
        <w:rPr>
          <w:rFonts w:hint="eastAsia"/>
          <w:color w:val="333333"/>
          <w:szCs w:val="21"/>
        </w:rPr>
        <w:t>王水提取</w:t>
      </w:r>
      <w:r>
        <w:rPr>
          <w:rFonts w:hint="eastAsia"/>
          <w:color w:val="333333"/>
          <w:szCs w:val="21"/>
        </w:rPr>
        <w:t>-</w:t>
      </w:r>
      <w:r>
        <w:rPr>
          <w:rFonts w:hint="eastAsia"/>
          <w:color w:val="333333"/>
          <w:szCs w:val="21"/>
        </w:rPr>
        <w:t>电感耦合等离子体质谱法</w:t>
      </w:r>
    </w:p>
    <w:p w14:paraId="7A346FB5" w14:textId="77777777" w:rsidR="00B752A8" w:rsidRDefault="00C46237">
      <w:pPr>
        <w:widowControl w:val="0"/>
        <w:ind w:firstLineChars="196" w:firstLine="412"/>
        <w:rPr>
          <w:color w:val="333333"/>
          <w:szCs w:val="21"/>
        </w:rPr>
      </w:pPr>
      <w:r>
        <w:rPr>
          <w:color w:val="333333"/>
          <w:szCs w:val="21"/>
        </w:rPr>
        <w:t>HJ</w:t>
      </w:r>
      <w:r>
        <w:rPr>
          <w:rFonts w:hint="eastAsia"/>
          <w:color w:val="333333"/>
          <w:szCs w:val="21"/>
        </w:rPr>
        <w:t xml:space="preserve"> </w:t>
      </w:r>
      <w:r>
        <w:rPr>
          <w:color w:val="333333"/>
          <w:szCs w:val="21"/>
        </w:rPr>
        <w:t xml:space="preserve">923          </w:t>
      </w:r>
      <w:r>
        <w:rPr>
          <w:rFonts w:hint="eastAsia"/>
          <w:color w:val="333333"/>
          <w:szCs w:val="21"/>
        </w:rPr>
        <w:t>土壤和沉积物</w:t>
      </w:r>
      <w:r>
        <w:rPr>
          <w:rFonts w:hint="eastAsia"/>
          <w:color w:val="333333"/>
          <w:szCs w:val="21"/>
        </w:rPr>
        <w:t xml:space="preserve"> </w:t>
      </w:r>
      <w:r>
        <w:rPr>
          <w:rFonts w:hint="eastAsia"/>
          <w:color w:val="333333"/>
          <w:szCs w:val="21"/>
        </w:rPr>
        <w:t>总汞的测定</w:t>
      </w:r>
      <w:r>
        <w:rPr>
          <w:rFonts w:hint="eastAsia"/>
          <w:color w:val="333333"/>
          <w:szCs w:val="21"/>
        </w:rPr>
        <w:t xml:space="preserve"> </w:t>
      </w:r>
      <w:r>
        <w:rPr>
          <w:rFonts w:hint="eastAsia"/>
          <w:color w:val="333333"/>
          <w:szCs w:val="21"/>
        </w:rPr>
        <w:t>催化热解</w:t>
      </w:r>
      <w:r>
        <w:rPr>
          <w:rFonts w:hint="eastAsia"/>
          <w:color w:val="333333"/>
          <w:szCs w:val="21"/>
        </w:rPr>
        <w:t>-</w:t>
      </w:r>
      <w:r>
        <w:rPr>
          <w:rFonts w:hint="eastAsia"/>
          <w:color w:val="333333"/>
          <w:szCs w:val="21"/>
        </w:rPr>
        <w:t>冷原子吸收分光光度法</w:t>
      </w:r>
    </w:p>
    <w:p w14:paraId="48AE7D12" w14:textId="77777777" w:rsidR="00B752A8" w:rsidRDefault="00C46237">
      <w:pPr>
        <w:pStyle w:val="affe"/>
        <w:tabs>
          <w:tab w:val="clear" w:pos="360"/>
        </w:tabs>
        <w:spacing w:beforeLines="100" w:before="312" w:afterLines="100" w:after="312"/>
        <w:outlineLvl w:val="0"/>
        <w:rPr>
          <w:rFonts w:ascii="Times New Roman"/>
          <w:szCs w:val="22"/>
        </w:rPr>
      </w:pPr>
      <w:bookmarkStart w:id="15" w:name="_Toc39653563"/>
      <w:r>
        <w:rPr>
          <w:rFonts w:hAnsi="黑体" w:cs="黑体" w:hint="eastAsia"/>
          <w:szCs w:val="22"/>
        </w:rPr>
        <w:t>3  术语与定义</w:t>
      </w:r>
      <w:bookmarkEnd w:id="13"/>
      <w:bookmarkEnd w:id="14"/>
      <w:bookmarkEnd w:id="15"/>
    </w:p>
    <w:p w14:paraId="6901015D" w14:textId="77777777" w:rsidR="00B752A8" w:rsidRDefault="00C46237">
      <w:pPr>
        <w:pStyle w:val="ad"/>
        <w:shd w:val="clear" w:color="auto" w:fill="FFFFFF"/>
        <w:adjustRightInd w:val="0"/>
        <w:snapToGrid w:val="0"/>
        <w:spacing w:before="0" w:beforeAutospacing="0" w:after="0" w:afterAutospacing="0"/>
        <w:ind w:firstLineChars="200" w:firstLine="420"/>
        <w:rPr>
          <w:rFonts w:ascii="Times New Roman" w:hAnsi="Times New Roman" w:cs="Times New Roman"/>
          <w:color w:val="333333"/>
          <w:sz w:val="21"/>
          <w:szCs w:val="21"/>
        </w:rPr>
      </w:pPr>
      <w:r>
        <w:rPr>
          <w:rFonts w:ascii="Times New Roman" w:hAnsi="Times New Roman" w:cs="Times New Roman"/>
          <w:color w:val="333333"/>
          <w:sz w:val="21"/>
          <w:szCs w:val="21"/>
        </w:rPr>
        <w:t>下列术语和定义适用于本</w:t>
      </w:r>
      <w:r>
        <w:rPr>
          <w:rFonts w:ascii="Times New Roman" w:hAnsi="Times New Roman" w:cs="Times New Roman" w:hint="eastAsia"/>
          <w:color w:val="333333"/>
          <w:sz w:val="21"/>
          <w:szCs w:val="21"/>
        </w:rPr>
        <w:t>文件</w:t>
      </w:r>
      <w:r>
        <w:rPr>
          <w:rFonts w:ascii="Times New Roman" w:hAnsi="Times New Roman" w:cs="Times New Roman"/>
          <w:color w:val="333333"/>
          <w:sz w:val="21"/>
          <w:szCs w:val="21"/>
        </w:rPr>
        <w:t>。</w:t>
      </w:r>
    </w:p>
    <w:p w14:paraId="669E4737" w14:textId="77777777" w:rsidR="00B752A8" w:rsidRDefault="00C46237">
      <w:pPr>
        <w:spacing w:line="240" w:lineRule="auto"/>
        <w:jc w:val="left"/>
        <w:rPr>
          <w:color w:val="333333"/>
          <w:kern w:val="0"/>
          <w:szCs w:val="21"/>
        </w:rPr>
      </w:pPr>
      <w:r>
        <w:rPr>
          <w:color w:val="333333"/>
          <w:szCs w:val="21"/>
        </w:rPr>
        <w:br w:type="page"/>
      </w:r>
    </w:p>
    <w:p w14:paraId="611F018A" w14:textId="77777777" w:rsidR="00B752A8" w:rsidRDefault="00C46237">
      <w:pPr>
        <w:rPr>
          <w:rFonts w:ascii="黑体" w:eastAsia="黑体" w:hAnsi="黑体" w:cs="黑体"/>
        </w:rPr>
      </w:pPr>
      <w:bookmarkStart w:id="16" w:name="_Toc39569242"/>
      <w:bookmarkStart w:id="17" w:name="_Toc39497786"/>
      <w:r>
        <w:rPr>
          <w:rFonts w:ascii="黑体" w:eastAsia="黑体" w:hAnsi="黑体" w:cs="黑体" w:hint="eastAsia"/>
        </w:rPr>
        <w:lastRenderedPageBreak/>
        <w:t>3.1</w:t>
      </w:r>
    </w:p>
    <w:p w14:paraId="7D8AEEEF" w14:textId="77777777" w:rsidR="00B752A8" w:rsidRDefault="00C46237">
      <w:pPr>
        <w:ind w:firstLineChars="200" w:firstLine="420"/>
        <w:rPr>
          <w:b/>
          <w:bCs/>
        </w:rPr>
      </w:pPr>
      <w:r>
        <w:rPr>
          <w:rFonts w:eastAsia="黑体" w:hint="eastAsia"/>
        </w:rPr>
        <w:t>食用农产品</w:t>
      </w:r>
      <w:r>
        <w:rPr>
          <w:rFonts w:hint="eastAsia"/>
        </w:rPr>
        <w:t xml:space="preserve"> </w:t>
      </w:r>
      <w:r>
        <w:rPr>
          <w:rFonts w:ascii="黑体" w:eastAsia="黑体" w:hAnsi="黑体" w:cs="黑体" w:hint="eastAsia"/>
        </w:rPr>
        <w:t>edible agricultural products</w:t>
      </w:r>
      <w:bookmarkEnd w:id="16"/>
      <w:bookmarkEnd w:id="17"/>
    </w:p>
    <w:p w14:paraId="55FD44ED" w14:textId="77777777" w:rsidR="00B752A8" w:rsidRDefault="00C46237">
      <w:pPr>
        <w:ind w:firstLineChars="200" w:firstLine="420"/>
      </w:pPr>
      <w:r>
        <w:rPr>
          <w:color w:val="333333"/>
          <w:szCs w:val="21"/>
        </w:rPr>
        <w:t>农业耕作过程中生产的</w:t>
      </w:r>
      <w:r>
        <w:rPr>
          <w:rFonts w:hint="eastAsia"/>
          <w:color w:val="333333"/>
          <w:szCs w:val="21"/>
        </w:rPr>
        <w:t>植物类</w:t>
      </w:r>
      <w:r>
        <w:rPr>
          <w:color w:val="333333"/>
          <w:szCs w:val="21"/>
        </w:rPr>
        <w:t>食用农产品，如水稻、小麦、玉米、蔬菜</w:t>
      </w:r>
      <w:r>
        <w:rPr>
          <w:rFonts w:hint="eastAsia"/>
          <w:color w:val="333333"/>
          <w:szCs w:val="21"/>
        </w:rPr>
        <w:t>、水果</w:t>
      </w:r>
      <w:r>
        <w:rPr>
          <w:color w:val="333333"/>
          <w:szCs w:val="21"/>
        </w:rPr>
        <w:t>等。</w:t>
      </w:r>
    </w:p>
    <w:p w14:paraId="704A2CE9" w14:textId="77777777" w:rsidR="00B752A8" w:rsidRDefault="00C46237">
      <w:pPr>
        <w:rPr>
          <w:rFonts w:ascii="黑体" w:eastAsia="黑体" w:hAnsi="黑体" w:cs="黑体"/>
        </w:rPr>
      </w:pPr>
      <w:bookmarkStart w:id="18" w:name="_Toc39497787"/>
      <w:bookmarkStart w:id="19" w:name="_Toc39569243"/>
      <w:r>
        <w:rPr>
          <w:rFonts w:ascii="黑体" w:eastAsia="黑体" w:hAnsi="黑体" w:cs="黑体" w:hint="eastAsia"/>
        </w:rPr>
        <w:t>3.2</w:t>
      </w:r>
    </w:p>
    <w:p w14:paraId="68A9C74D" w14:textId="77777777" w:rsidR="00B752A8" w:rsidRDefault="00C46237">
      <w:pPr>
        <w:ind w:firstLineChars="200" w:firstLine="420"/>
        <w:rPr>
          <w:rFonts w:ascii="黑体" w:eastAsia="黑体" w:hAnsi="黑体" w:cs="黑体"/>
        </w:rPr>
      </w:pPr>
      <w:r>
        <w:rPr>
          <w:rFonts w:eastAsia="黑体" w:hint="eastAsia"/>
        </w:rPr>
        <w:t>食用农产品产地</w:t>
      </w:r>
      <w:r>
        <w:rPr>
          <w:rFonts w:eastAsia="黑体" w:hint="eastAsia"/>
        </w:rPr>
        <w:t xml:space="preserve"> </w:t>
      </w:r>
      <w:r>
        <w:rPr>
          <w:rFonts w:ascii="黑体" w:eastAsia="黑体" w:hAnsi="黑体" w:cs="黑体" w:hint="eastAsia"/>
        </w:rPr>
        <w:t>producing area of edible agricultural products</w:t>
      </w:r>
      <w:bookmarkEnd w:id="18"/>
      <w:bookmarkEnd w:id="19"/>
      <w:r>
        <w:rPr>
          <w:rFonts w:ascii="黑体" w:eastAsia="黑体" w:hAnsi="黑体" w:cs="黑体" w:hint="eastAsia"/>
        </w:rPr>
        <w:t xml:space="preserve"> </w:t>
      </w:r>
    </w:p>
    <w:p w14:paraId="544FBB19" w14:textId="77777777" w:rsidR="00B752A8" w:rsidRDefault="00C46237">
      <w:pPr>
        <w:ind w:firstLineChars="200" w:firstLine="420"/>
        <w:rPr>
          <w:rFonts w:eastAsia="黑体"/>
        </w:rPr>
      </w:pPr>
      <w:r>
        <w:rPr>
          <w:color w:val="333333"/>
          <w:szCs w:val="21"/>
        </w:rPr>
        <w:t>用于</w:t>
      </w:r>
      <w:r>
        <w:rPr>
          <w:rFonts w:hint="eastAsia"/>
          <w:color w:val="333333"/>
          <w:szCs w:val="21"/>
        </w:rPr>
        <w:t>种植上述食用农产品且经常耕种</w:t>
      </w:r>
      <w:r>
        <w:rPr>
          <w:color w:val="333333"/>
          <w:szCs w:val="21"/>
        </w:rPr>
        <w:t>的土地。</w:t>
      </w:r>
    </w:p>
    <w:p w14:paraId="11C99E07" w14:textId="77777777" w:rsidR="00B752A8" w:rsidRDefault="00C46237">
      <w:pPr>
        <w:rPr>
          <w:rFonts w:ascii="黑体" w:eastAsia="黑体" w:hAnsi="黑体" w:cs="黑体"/>
        </w:rPr>
      </w:pPr>
      <w:bookmarkStart w:id="20" w:name="_Toc39569244"/>
      <w:r>
        <w:rPr>
          <w:rFonts w:ascii="黑体" w:eastAsia="黑体" w:hAnsi="黑体" w:cs="黑体" w:hint="eastAsia"/>
        </w:rPr>
        <w:t xml:space="preserve">3.3 </w:t>
      </w:r>
    </w:p>
    <w:p w14:paraId="7EC03440" w14:textId="77777777" w:rsidR="00B752A8" w:rsidRDefault="00C46237">
      <w:pPr>
        <w:ind w:firstLineChars="200" w:firstLine="420"/>
        <w:rPr>
          <w:rFonts w:ascii="黑体" w:eastAsia="黑体" w:hAnsi="黑体" w:cs="黑体"/>
        </w:rPr>
      </w:pPr>
      <w:r>
        <w:rPr>
          <w:rFonts w:eastAsia="黑体" w:hint="eastAsia"/>
        </w:rPr>
        <w:t>重金属</w:t>
      </w:r>
      <w:r>
        <w:rPr>
          <w:rFonts w:eastAsia="黑体" w:hint="eastAsia"/>
        </w:rPr>
        <w:t xml:space="preserve"> </w:t>
      </w:r>
      <w:r>
        <w:rPr>
          <w:rFonts w:ascii="黑体" w:eastAsia="黑体" w:hAnsi="黑体" w:cs="黑体" w:hint="eastAsia"/>
        </w:rPr>
        <w:t>heavy metal</w:t>
      </w:r>
      <w:bookmarkEnd w:id="20"/>
    </w:p>
    <w:p w14:paraId="2EA186EB" w14:textId="77777777" w:rsidR="00B752A8" w:rsidRDefault="00C46237">
      <w:pPr>
        <w:ind w:firstLineChars="200" w:firstLine="420"/>
        <w:rPr>
          <w:rFonts w:eastAsia="黑体"/>
        </w:rPr>
      </w:pPr>
      <w:r>
        <w:rPr>
          <w:rFonts w:hint="eastAsia"/>
          <w:color w:val="333333"/>
          <w:szCs w:val="21"/>
        </w:rPr>
        <w:t>镉、汞、砷、铬、铅、锌、铜和</w:t>
      </w:r>
      <w:proofErr w:type="gramStart"/>
      <w:r>
        <w:rPr>
          <w:rFonts w:hint="eastAsia"/>
          <w:color w:val="333333"/>
          <w:szCs w:val="21"/>
        </w:rPr>
        <w:t>镍等</w:t>
      </w:r>
      <w:proofErr w:type="gramEnd"/>
      <w:r>
        <w:rPr>
          <w:rFonts w:hint="eastAsia"/>
          <w:color w:val="333333"/>
          <w:szCs w:val="21"/>
        </w:rPr>
        <w:t>8</w:t>
      </w:r>
      <w:r>
        <w:rPr>
          <w:rFonts w:hint="eastAsia"/>
          <w:color w:val="333333"/>
          <w:szCs w:val="21"/>
        </w:rPr>
        <w:t>种重（类）金属元素，以及锑、钴和</w:t>
      </w:r>
      <w:proofErr w:type="gramStart"/>
      <w:r>
        <w:rPr>
          <w:rFonts w:hint="eastAsia"/>
          <w:color w:val="333333"/>
          <w:szCs w:val="21"/>
        </w:rPr>
        <w:t>铊等</w:t>
      </w:r>
      <w:proofErr w:type="gramEnd"/>
      <w:r>
        <w:rPr>
          <w:rFonts w:hint="eastAsia"/>
          <w:color w:val="333333"/>
          <w:szCs w:val="21"/>
        </w:rPr>
        <w:t>造成土壤与农产品污染的其它重（类）金属元素，一般指密度大于</w:t>
      </w:r>
      <w:r>
        <w:rPr>
          <w:rFonts w:hint="eastAsia"/>
          <w:color w:val="333333"/>
          <w:szCs w:val="21"/>
        </w:rPr>
        <w:t>4.5 g/cm</w:t>
      </w:r>
      <w:r>
        <w:rPr>
          <w:rFonts w:hint="eastAsia"/>
          <w:color w:val="333333"/>
          <w:szCs w:val="21"/>
          <w:vertAlign w:val="superscript"/>
        </w:rPr>
        <w:t>3</w:t>
      </w:r>
      <w:r>
        <w:rPr>
          <w:rFonts w:hint="eastAsia"/>
          <w:color w:val="333333"/>
          <w:szCs w:val="21"/>
        </w:rPr>
        <w:t>的（类）金属元素。本文件指镉、汞、砷、铅、铬</w:t>
      </w:r>
      <w:r>
        <w:rPr>
          <w:rFonts w:hint="eastAsia"/>
          <w:color w:val="333333"/>
          <w:szCs w:val="21"/>
        </w:rPr>
        <w:t>5</w:t>
      </w:r>
      <w:r>
        <w:rPr>
          <w:rFonts w:hint="eastAsia"/>
          <w:color w:val="333333"/>
          <w:szCs w:val="21"/>
        </w:rPr>
        <w:t>项元素。</w:t>
      </w:r>
    </w:p>
    <w:p w14:paraId="05C1AF08" w14:textId="77777777" w:rsidR="00B752A8" w:rsidRDefault="00C46237">
      <w:pPr>
        <w:rPr>
          <w:rFonts w:ascii="黑体" w:eastAsia="黑体" w:hAnsi="黑体" w:cs="黑体"/>
        </w:rPr>
      </w:pPr>
      <w:bookmarkStart w:id="21" w:name="_Toc39497788"/>
      <w:bookmarkStart w:id="22" w:name="_Toc39569245"/>
      <w:r>
        <w:rPr>
          <w:rFonts w:ascii="黑体" w:eastAsia="黑体" w:hAnsi="黑体" w:cs="黑体" w:hint="eastAsia"/>
        </w:rPr>
        <w:t>3.4</w:t>
      </w:r>
    </w:p>
    <w:p w14:paraId="72646838" w14:textId="77777777" w:rsidR="00B752A8" w:rsidRDefault="00C46237">
      <w:pPr>
        <w:ind w:firstLineChars="200" w:firstLine="420"/>
        <w:rPr>
          <w:rFonts w:ascii="黑体" w:eastAsia="黑体" w:hAnsi="黑体" w:cs="黑体"/>
        </w:rPr>
      </w:pPr>
      <w:r>
        <w:rPr>
          <w:rFonts w:eastAsia="黑体"/>
        </w:rPr>
        <w:t>风险评估</w:t>
      </w:r>
      <w:r>
        <w:rPr>
          <w:rFonts w:eastAsia="黑体"/>
        </w:rPr>
        <w:t xml:space="preserve"> </w:t>
      </w:r>
      <w:r>
        <w:rPr>
          <w:rFonts w:ascii="黑体" w:eastAsia="黑体" w:hAnsi="黑体" w:cs="黑体" w:hint="eastAsia"/>
        </w:rPr>
        <w:t>risk assessment</w:t>
      </w:r>
      <w:bookmarkEnd w:id="21"/>
      <w:bookmarkEnd w:id="22"/>
    </w:p>
    <w:p w14:paraId="10FF33E4" w14:textId="77777777" w:rsidR="00B752A8" w:rsidRDefault="00C46237">
      <w:pPr>
        <w:pStyle w:val="ad"/>
        <w:shd w:val="clear" w:color="auto" w:fill="FFFFFF"/>
        <w:adjustRightInd w:val="0"/>
        <w:snapToGrid w:val="0"/>
        <w:spacing w:before="0" w:beforeAutospacing="0" w:after="0" w:afterAutospacing="0"/>
        <w:ind w:firstLineChars="200" w:firstLine="420"/>
        <w:rPr>
          <w:rFonts w:ascii="Times New Roman" w:hAnsi="Times New Roman" w:cs="Times New Roman"/>
          <w:color w:val="333333"/>
          <w:sz w:val="21"/>
          <w:szCs w:val="21"/>
        </w:rPr>
      </w:pPr>
      <w:r>
        <w:rPr>
          <w:rFonts w:ascii="Times New Roman" w:hAnsi="Times New Roman" w:cs="Times New Roman"/>
          <w:color w:val="333333"/>
          <w:sz w:val="21"/>
          <w:szCs w:val="21"/>
        </w:rPr>
        <w:t>在</w:t>
      </w:r>
      <w:r>
        <w:rPr>
          <w:rFonts w:ascii="Times New Roman" w:hAnsi="Times New Roman" w:cs="Times New Roman" w:hint="eastAsia"/>
          <w:color w:val="333333"/>
          <w:sz w:val="21"/>
          <w:szCs w:val="21"/>
        </w:rPr>
        <w:t>历史性土壤</w:t>
      </w:r>
      <w:r>
        <w:rPr>
          <w:rFonts w:ascii="Times New Roman" w:hAnsi="Times New Roman" w:cs="Times New Roman"/>
          <w:color w:val="333333"/>
          <w:sz w:val="21"/>
          <w:szCs w:val="21"/>
        </w:rPr>
        <w:t>污染调查的基础上，</w:t>
      </w:r>
      <w:r>
        <w:rPr>
          <w:rFonts w:ascii="Times New Roman" w:hAnsi="Times New Roman" w:cs="Times New Roman" w:hint="eastAsia"/>
          <w:color w:val="333333"/>
          <w:sz w:val="21"/>
          <w:szCs w:val="21"/>
        </w:rPr>
        <w:t>通过补充采样调查，协同</w:t>
      </w:r>
      <w:r>
        <w:rPr>
          <w:rFonts w:ascii="Times New Roman" w:hAnsi="Times New Roman" w:cs="Times New Roman"/>
          <w:color w:val="333333"/>
          <w:sz w:val="21"/>
          <w:szCs w:val="21"/>
        </w:rPr>
        <w:t>农产品质量，分析</w:t>
      </w:r>
      <w:r>
        <w:rPr>
          <w:rFonts w:ascii="Times New Roman" w:hAnsi="Times New Roman" w:cs="Times New Roman" w:hint="eastAsia"/>
          <w:color w:val="333333"/>
          <w:sz w:val="21"/>
          <w:szCs w:val="21"/>
        </w:rPr>
        <w:t>土壤</w:t>
      </w:r>
      <w:r>
        <w:rPr>
          <w:rFonts w:ascii="Times New Roman" w:hAnsi="Times New Roman" w:cs="Times New Roman"/>
          <w:color w:val="333333"/>
          <w:sz w:val="21"/>
          <w:szCs w:val="21"/>
        </w:rPr>
        <w:t>污染状况，评估农产品</w:t>
      </w:r>
      <w:r>
        <w:rPr>
          <w:rFonts w:ascii="Times New Roman" w:hAnsi="Times New Roman" w:cs="Times New Roman" w:hint="eastAsia"/>
          <w:color w:val="333333"/>
          <w:sz w:val="21"/>
          <w:szCs w:val="21"/>
        </w:rPr>
        <w:t>污染物</w:t>
      </w:r>
      <w:r>
        <w:rPr>
          <w:rFonts w:ascii="Times New Roman" w:hAnsi="Times New Roman" w:cs="Times New Roman"/>
          <w:color w:val="333333"/>
          <w:sz w:val="21"/>
          <w:szCs w:val="21"/>
        </w:rPr>
        <w:t>超标风险</w:t>
      </w:r>
      <w:r>
        <w:rPr>
          <w:rFonts w:ascii="Times New Roman" w:hAnsi="Times New Roman" w:cs="Times New Roman" w:hint="eastAsia"/>
          <w:color w:val="333333"/>
          <w:sz w:val="21"/>
          <w:szCs w:val="21"/>
        </w:rPr>
        <w:t>，</w:t>
      </w:r>
      <w:r>
        <w:rPr>
          <w:rFonts w:hint="eastAsia"/>
          <w:sz w:val="21"/>
        </w:rPr>
        <w:t>为食用农产品产地划分风险类型与风险等级提供依据。</w:t>
      </w:r>
    </w:p>
    <w:p w14:paraId="29767BEF" w14:textId="77777777" w:rsidR="00B752A8" w:rsidRDefault="00C46237">
      <w:pPr>
        <w:rPr>
          <w:rFonts w:ascii="黑体" w:eastAsia="黑体" w:hAnsi="黑体" w:cs="黑体"/>
        </w:rPr>
      </w:pPr>
      <w:bookmarkStart w:id="23" w:name="_Toc39569246"/>
      <w:bookmarkStart w:id="24" w:name="_Toc39497789"/>
      <w:r>
        <w:rPr>
          <w:rFonts w:ascii="黑体" w:eastAsia="黑体" w:hAnsi="黑体" w:cs="黑体" w:hint="eastAsia"/>
        </w:rPr>
        <w:t>3.5</w:t>
      </w:r>
    </w:p>
    <w:p w14:paraId="417D4BF4" w14:textId="77777777" w:rsidR="00B752A8" w:rsidRDefault="00C46237">
      <w:pPr>
        <w:ind w:firstLineChars="200" w:firstLine="420"/>
        <w:rPr>
          <w:rFonts w:ascii="黑体" w:eastAsia="黑体" w:hAnsi="黑体" w:cs="黑体"/>
        </w:rPr>
      </w:pPr>
      <w:r>
        <w:rPr>
          <w:rFonts w:eastAsia="黑体" w:hint="eastAsia"/>
        </w:rPr>
        <w:t>调查单元</w:t>
      </w:r>
      <w:r>
        <w:rPr>
          <w:rFonts w:eastAsia="黑体" w:hint="eastAsia"/>
        </w:rPr>
        <w:t xml:space="preserve"> </w:t>
      </w:r>
      <w:r>
        <w:rPr>
          <w:rFonts w:ascii="黑体" w:eastAsia="黑体" w:hAnsi="黑体" w:cs="黑体" w:hint="eastAsia"/>
        </w:rPr>
        <w:t>survey unit</w:t>
      </w:r>
      <w:bookmarkEnd w:id="23"/>
      <w:bookmarkEnd w:id="24"/>
    </w:p>
    <w:p w14:paraId="7ED79818" w14:textId="77777777" w:rsidR="00B752A8" w:rsidRDefault="00C46237">
      <w:pPr>
        <w:ind w:firstLineChars="200" w:firstLine="420"/>
        <w:jc w:val="left"/>
        <w:rPr>
          <w:color w:val="333333"/>
          <w:szCs w:val="21"/>
        </w:rPr>
      </w:pPr>
      <w:r>
        <w:rPr>
          <w:rFonts w:hint="eastAsia"/>
          <w:color w:val="333333"/>
          <w:szCs w:val="21"/>
        </w:rPr>
        <w:t>在评估区域内，基于历史性土壤污染调查数据及土地</w:t>
      </w:r>
      <w:r>
        <w:rPr>
          <w:color w:val="333333"/>
          <w:szCs w:val="21"/>
        </w:rPr>
        <w:t>利用方式</w:t>
      </w:r>
      <w:r>
        <w:rPr>
          <w:rFonts w:hint="eastAsia"/>
          <w:color w:val="333333"/>
          <w:szCs w:val="21"/>
        </w:rPr>
        <w:t>等，划分的污染特征相对均</w:t>
      </w:r>
      <w:proofErr w:type="gramStart"/>
      <w:r>
        <w:rPr>
          <w:rFonts w:hint="eastAsia"/>
          <w:color w:val="333333"/>
          <w:szCs w:val="21"/>
        </w:rPr>
        <w:t>一</w:t>
      </w:r>
      <w:proofErr w:type="gramEnd"/>
      <w:r>
        <w:rPr>
          <w:rFonts w:hint="eastAsia"/>
          <w:color w:val="333333"/>
          <w:szCs w:val="21"/>
        </w:rPr>
        <w:t>的特定区域。</w:t>
      </w:r>
    </w:p>
    <w:p w14:paraId="2FF2C35C" w14:textId="77777777" w:rsidR="00B752A8" w:rsidRDefault="00C46237">
      <w:pPr>
        <w:rPr>
          <w:rFonts w:ascii="黑体" w:eastAsia="黑体" w:hAnsi="黑体" w:cs="黑体"/>
        </w:rPr>
      </w:pPr>
      <w:r>
        <w:rPr>
          <w:rFonts w:ascii="黑体" w:eastAsia="黑体" w:hAnsi="黑体" w:cs="黑体" w:hint="eastAsia"/>
        </w:rPr>
        <w:t>3.6</w:t>
      </w:r>
    </w:p>
    <w:p w14:paraId="0F3D76F8" w14:textId="77777777" w:rsidR="00B752A8" w:rsidRDefault="00C46237">
      <w:pPr>
        <w:ind w:firstLineChars="200" w:firstLine="420"/>
        <w:rPr>
          <w:rFonts w:ascii="黑体" w:eastAsia="黑体" w:hAnsi="黑体" w:cs="黑体"/>
        </w:rPr>
      </w:pPr>
      <w:r>
        <w:rPr>
          <w:rFonts w:eastAsia="黑体" w:hint="eastAsia"/>
        </w:rPr>
        <w:t>风险单元</w:t>
      </w:r>
      <w:r>
        <w:rPr>
          <w:rFonts w:eastAsia="黑体" w:hint="eastAsia"/>
        </w:rPr>
        <w:t xml:space="preserve"> </w:t>
      </w:r>
      <w:r>
        <w:rPr>
          <w:rFonts w:ascii="黑体" w:eastAsia="黑体" w:hAnsi="黑体" w:cs="黑体" w:hint="eastAsia"/>
        </w:rPr>
        <w:t>risk unit</w:t>
      </w:r>
    </w:p>
    <w:p w14:paraId="4409B3B4" w14:textId="77777777" w:rsidR="00B752A8" w:rsidRDefault="00C46237">
      <w:pPr>
        <w:ind w:firstLineChars="200" w:firstLine="420"/>
        <w:jc w:val="left"/>
        <w:rPr>
          <w:color w:val="333333"/>
          <w:szCs w:val="21"/>
        </w:rPr>
      </w:pPr>
      <w:r>
        <w:rPr>
          <w:color w:val="333333"/>
          <w:szCs w:val="21"/>
        </w:rPr>
        <w:t>在</w:t>
      </w:r>
      <w:r>
        <w:rPr>
          <w:rFonts w:hint="eastAsia"/>
          <w:color w:val="333333"/>
          <w:szCs w:val="21"/>
        </w:rPr>
        <w:t>调查</w:t>
      </w:r>
      <w:r>
        <w:rPr>
          <w:color w:val="333333"/>
          <w:szCs w:val="21"/>
        </w:rPr>
        <w:t>单元的基础上，按照点位风险</w:t>
      </w:r>
      <w:r>
        <w:rPr>
          <w:rFonts w:hint="eastAsia"/>
          <w:color w:val="333333"/>
          <w:szCs w:val="21"/>
        </w:rPr>
        <w:t>水平</w:t>
      </w:r>
      <w:r>
        <w:rPr>
          <w:color w:val="333333"/>
          <w:szCs w:val="21"/>
        </w:rPr>
        <w:t>一致性原则划分的</w:t>
      </w:r>
      <w:r>
        <w:rPr>
          <w:rFonts w:hint="eastAsia"/>
          <w:color w:val="333333"/>
          <w:szCs w:val="21"/>
        </w:rPr>
        <w:t>具</w:t>
      </w:r>
      <w:r>
        <w:rPr>
          <w:color w:val="333333"/>
          <w:szCs w:val="21"/>
        </w:rPr>
        <w:t>有相同</w:t>
      </w:r>
      <w:r>
        <w:rPr>
          <w:rFonts w:hint="eastAsia"/>
          <w:color w:val="333333"/>
          <w:szCs w:val="21"/>
        </w:rPr>
        <w:t>风险特征</w:t>
      </w:r>
      <w:r>
        <w:rPr>
          <w:color w:val="333333"/>
          <w:szCs w:val="21"/>
        </w:rPr>
        <w:t>的单元。</w:t>
      </w:r>
    </w:p>
    <w:p w14:paraId="433FCF4A" w14:textId="77777777" w:rsidR="00B752A8" w:rsidRDefault="00C46237">
      <w:pPr>
        <w:pStyle w:val="affe"/>
        <w:tabs>
          <w:tab w:val="clear" w:pos="360"/>
        </w:tabs>
        <w:spacing w:beforeLines="100" w:before="312" w:afterLines="100" w:after="312"/>
        <w:outlineLvl w:val="0"/>
        <w:rPr>
          <w:rFonts w:hAnsi="黑体" w:cs="黑体"/>
          <w:szCs w:val="22"/>
        </w:rPr>
      </w:pPr>
      <w:bookmarkStart w:id="25" w:name="_Toc498930636"/>
      <w:bookmarkStart w:id="26" w:name="_Toc39653564"/>
      <w:bookmarkStart w:id="27" w:name="_Toc259624029"/>
      <w:r>
        <w:rPr>
          <w:rFonts w:hAnsi="黑体" w:cs="黑体" w:hint="eastAsia"/>
          <w:szCs w:val="22"/>
        </w:rPr>
        <w:t>4  评估原则</w:t>
      </w:r>
      <w:bookmarkEnd w:id="25"/>
      <w:bookmarkEnd w:id="26"/>
    </w:p>
    <w:p w14:paraId="02002DFE" w14:textId="77777777" w:rsidR="00B752A8" w:rsidRDefault="00C46237">
      <w:pPr>
        <w:rPr>
          <w:rFonts w:ascii="黑体" w:eastAsia="黑体" w:hAnsi="黑体" w:cs="黑体"/>
        </w:rPr>
      </w:pPr>
      <w:r>
        <w:rPr>
          <w:rFonts w:ascii="黑体" w:eastAsia="黑体" w:hAnsi="黑体" w:cs="黑体" w:hint="eastAsia"/>
        </w:rPr>
        <w:t>4.1  继承性</w:t>
      </w:r>
    </w:p>
    <w:p w14:paraId="5BF11029" w14:textId="77777777" w:rsidR="00B752A8" w:rsidRDefault="00C46237">
      <w:pPr>
        <w:pStyle w:val="af8"/>
        <w:ind w:firstLine="420"/>
      </w:pPr>
      <w:r>
        <w:rPr>
          <w:rFonts w:hint="eastAsia"/>
        </w:rPr>
        <w:t>以评估区域内全国农用地土壤污染状况详查、全国农产品产地土壤重金属污染普查、</w:t>
      </w:r>
      <w:r>
        <w:rPr>
          <w:rFonts w:hint="eastAsia"/>
          <w:color w:val="333333"/>
          <w:szCs w:val="21"/>
        </w:rPr>
        <w:t>多目标区域地球化学调查、</w:t>
      </w:r>
      <w:r>
        <w:rPr>
          <w:rFonts w:hint="eastAsia"/>
        </w:rPr>
        <w:t>农产品产地土壤环境监测等历史性土壤污染调查数据为基础，统筹考虑农产品质量协同调查数据</w:t>
      </w:r>
      <w:r>
        <w:t>，</w:t>
      </w:r>
      <w:r>
        <w:rPr>
          <w:rFonts w:hint="eastAsia"/>
        </w:rPr>
        <w:t>充分保障评价结论的可靠性</w:t>
      </w:r>
      <w:r>
        <w:t>。</w:t>
      </w:r>
    </w:p>
    <w:p w14:paraId="4A05D927" w14:textId="77777777" w:rsidR="00B752A8" w:rsidRDefault="00C46237">
      <w:pPr>
        <w:spacing w:line="240" w:lineRule="auto"/>
        <w:jc w:val="left"/>
        <w:rPr>
          <w:rFonts w:ascii="宋体"/>
          <w:kern w:val="0"/>
          <w:szCs w:val="20"/>
        </w:rPr>
      </w:pPr>
      <w:r>
        <w:br w:type="page"/>
      </w:r>
    </w:p>
    <w:p w14:paraId="5D6878FE" w14:textId="77777777" w:rsidR="00B752A8" w:rsidRDefault="00C46237">
      <w:pPr>
        <w:rPr>
          <w:rFonts w:ascii="黑体" w:eastAsia="黑体" w:hAnsi="黑体" w:cs="黑体"/>
        </w:rPr>
      </w:pPr>
      <w:r>
        <w:rPr>
          <w:rFonts w:ascii="黑体" w:eastAsia="黑体" w:hAnsi="黑体" w:cs="黑体" w:hint="eastAsia"/>
        </w:rPr>
        <w:lastRenderedPageBreak/>
        <w:t>4.2  针对性</w:t>
      </w:r>
    </w:p>
    <w:p w14:paraId="0BF6A196" w14:textId="77777777" w:rsidR="00B752A8" w:rsidRDefault="00C46237">
      <w:pPr>
        <w:pStyle w:val="af8"/>
        <w:ind w:firstLine="420"/>
        <w:rPr>
          <w:rFonts w:ascii="Times New Roman"/>
          <w:b/>
          <w:bCs/>
        </w:rPr>
      </w:pPr>
      <w:r>
        <w:rPr>
          <w:rFonts w:hint="eastAsia"/>
        </w:rPr>
        <w:t>食用农产品产地重金属风险评估以农产品质</w:t>
      </w:r>
      <w:proofErr w:type="gramStart"/>
      <w:r>
        <w:rPr>
          <w:rFonts w:hint="eastAsia"/>
        </w:rPr>
        <w:t>量安全</w:t>
      </w:r>
      <w:proofErr w:type="gramEnd"/>
      <w:r>
        <w:rPr>
          <w:rFonts w:hint="eastAsia"/>
        </w:rPr>
        <w:t>为首要评估依据，兼顾土壤环境质量。</w:t>
      </w:r>
      <w:r>
        <w:rPr>
          <w:rFonts w:ascii="Times New Roman" w:hint="eastAsia"/>
        </w:rPr>
        <w:t>通过补充调查获取充足的土壤</w:t>
      </w:r>
      <w:r>
        <w:rPr>
          <w:rFonts w:ascii="Times New Roman" w:hint="eastAsia"/>
        </w:rPr>
        <w:t>-</w:t>
      </w:r>
      <w:r>
        <w:rPr>
          <w:rFonts w:ascii="Times New Roman" w:hint="eastAsia"/>
        </w:rPr>
        <w:t>农产品重金属含量的一一对应数据，开展土壤</w:t>
      </w:r>
      <w:r>
        <w:rPr>
          <w:rFonts w:ascii="Times New Roman" w:hint="eastAsia"/>
        </w:rPr>
        <w:t>-</w:t>
      </w:r>
      <w:r>
        <w:rPr>
          <w:rFonts w:ascii="Times New Roman" w:hint="eastAsia"/>
        </w:rPr>
        <w:t>农产品重金属协同风险评价，为下一步风险精准管控与修复提供依据。</w:t>
      </w:r>
    </w:p>
    <w:p w14:paraId="0FA1ADE5" w14:textId="77777777" w:rsidR="00B752A8" w:rsidRDefault="00C46237">
      <w:pPr>
        <w:rPr>
          <w:rFonts w:ascii="黑体" w:eastAsia="黑体" w:hAnsi="黑体" w:cs="黑体"/>
        </w:rPr>
      </w:pPr>
      <w:r>
        <w:rPr>
          <w:rFonts w:ascii="黑体" w:eastAsia="黑体" w:hAnsi="黑体" w:cs="黑体" w:hint="eastAsia"/>
        </w:rPr>
        <w:t xml:space="preserve">4.3 </w:t>
      </w:r>
      <w:bookmarkStart w:id="28" w:name="_Toc16515058"/>
      <w:r>
        <w:rPr>
          <w:rFonts w:ascii="黑体" w:eastAsia="黑体" w:hAnsi="黑体" w:cs="黑体" w:hint="eastAsia"/>
        </w:rPr>
        <w:t xml:space="preserve"> 可操作性</w:t>
      </w:r>
    </w:p>
    <w:p w14:paraId="4898D8B9" w14:textId="77777777" w:rsidR="00B752A8" w:rsidRDefault="00C46237">
      <w:pPr>
        <w:ind w:firstLineChars="200" w:firstLine="420"/>
        <w:rPr>
          <w:kern w:val="0"/>
          <w:szCs w:val="20"/>
        </w:rPr>
      </w:pPr>
      <w:r>
        <w:rPr>
          <w:rFonts w:hint="eastAsia"/>
          <w:kern w:val="0"/>
          <w:szCs w:val="20"/>
        </w:rPr>
        <w:t>充分考虑实际情况，结合已有工作基础和当前科技发展水平，合理评价食用农产品产地重金属污染风险，风险评估程序和方法具有可接受性和易操作性。</w:t>
      </w:r>
      <w:bookmarkEnd w:id="28"/>
    </w:p>
    <w:p w14:paraId="2ABF0354" w14:textId="77777777" w:rsidR="00B752A8" w:rsidRDefault="00C46237">
      <w:pPr>
        <w:spacing w:line="240" w:lineRule="auto"/>
        <w:jc w:val="left"/>
        <w:rPr>
          <w:kern w:val="0"/>
          <w:szCs w:val="20"/>
        </w:rPr>
      </w:pPr>
      <w:r>
        <w:rPr>
          <w:kern w:val="0"/>
          <w:szCs w:val="20"/>
        </w:rPr>
        <w:br w:type="page"/>
      </w:r>
    </w:p>
    <w:p w14:paraId="7CEF8A59" w14:textId="77777777" w:rsidR="00B752A8" w:rsidRDefault="00C46237">
      <w:pPr>
        <w:pStyle w:val="affe"/>
        <w:tabs>
          <w:tab w:val="clear" w:pos="360"/>
        </w:tabs>
        <w:spacing w:beforeLines="100" w:before="312" w:afterLines="100" w:after="312"/>
        <w:outlineLvl w:val="0"/>
        <w:rPr>
          <w:rFonts w:hAnsi="黑体" w:cs="黑体"/>
          <w:szCs w:val="22"/>
        </w:rPr>
      </w:pPr>
      <w:bookmarkStart w:id="29" w:name="_Toc39653565"/>
      <w:r>
        <w:rPr>
          <w:rFonts w:hAnsi="黑体" w:cs="黑体" w:hint="eastAsia"/>
          <w:szCs w:val="22"/>
        </w:rPr>
        <w:lastRenderedPageBreak/>
        <w:t>5  技术路线</w:t>
      </w:r>
      <w:bookmarkEnd w:id="29"/>
    </w:p>
    <w:p w14:paraId="0C9B7A90" w14:textId="77777777" w:rsidR="00B752A8" w:rsidRDefault="00C46237">
      <w:pPr>
        <w:pStyle w:val="af8"/>
        <w:spacing w:beforeLines="50" w:before="156"/>
        <w:ind w:firstLine="420"/>
        <w:rPr>
          <w:rFonts w:ascii="Times New Roman"/>
        </w:rPr>
      </w:pPr>
      <w:r>
        <w:rPr>
          <w:rFonts w:ascii="Times New Roman" w:hint="eastAsia"/>
        </w:rPr>
        <w:t>食用农产品产地风险评估主要技术环节包括：基础资料和数据收集、划分调查单元、补充调查、点位风险评估、划分风险单元、撰写风险评估报告等。</w:t>
      </w:r>
    </w:p>
    <w:p w14:paraId="43B98E19" w14:textId="77777777" w:rsidR="00B752A8" w:rsidRDefault="00C46237">
      <w:pPr>
        <w:pStyle w:val="af8"/>
        <w:ind w:firstLineChars="0" w:firstLine="0"/>
        <w:jc w:val="center"/>
        <w:rPr>
          <w:rFonts w:ascii="Times New Roman"/>
        </w:rPr>
      </w:pPr>
      <w:r>
        <w:object w:dxaOrig="8295" w:dyaOrig="11805" w14:anchorId="412A4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590.25pt" o:ole="">
            <v:imagedata r:id="rId15" o:title=""/>
          </v:shape>
          <o:OLEObject Type="Embed" ProgID="Visio.Drawing.15" ShapeID="_x0000_i1025" DrawAspect="Content" ObjectID="_1685272068" r:id="rId16"/>
        </w:object>
      </w:r>
    </w:p>
    <w:p w14:paraId="408D403B" w14:textId="77777777" w:rsidR="00B752A8" w:rsidRDefault="00C46237">
      <w:pPr>
        <w:pStyle w:val="af8"/>
        <w:ind w:firstLineChars="0" w:firstLine="0"/>
        <w:jc w:val="center"/>
        <w:rPr>
          <w:rFonts w:ascii="Times New Roman"/>
        </w:rPr>
      </w:pPr>
      <w:r>
        <w:rPr>
          <w:rFonts w:ascii="Times New Roman" w:eastAsia="黑体" w:hint="eastAsia"/>
          <w:sz w:val="20"/>
          <w:szCs w:val="18"/>
        </w:rPr>
        <w:t>图</w:t>
      </w:r>
      <w:r>
        <w:rPr>
          <w:rFonts w:ascii="Times New Roman" w:eastAsia="黑体" w:hint="eastAsia"/>
          <w:sz w:val="20"/>
          <w:szCs w:val="18"/>
        </w:rPr>
        <w:t>1</w:t>
      </w:r>
      <w:r>
        <w:rPr>
          <w:rFonts w:ascii="Times New Roman" w:eastAsia="黑体"/>
          <w:sz w:val="20"/>
          <w:szCs w:val="18"/>
        </w:rPr>
        <w:t xml:space="preserve"> </w:t>
      </w:r>
      <w:r>
        <w:rPr>
          <w:rFonts w:ascii="Times New Roman" w:eastAsia="黑体" w:hint="eastAsia"/>
          <w:sz w:val="20"/>
          <w:szCs w:val="18"/>
        </w:rPr>
        <w:t>食用农产品产地重金属风险评估程序</w:t>
      </w:r>
      <w:r>
        <w:rPr>
          <w:rFonts w:ascii="Times New Roman" w:eastAsia="黑体"/>
          <w:sz w:val="20"/>
          <w:szCs w:val="18"/>
        </w:rPr>
        <w:br w:type="page"/>
      </w:r>
    </w:p>
    <w:p w14:paraId="05E5E789" w14:textId="77777777" w:rsidR="00B752A8" w:rsidRDefault="00C46237">
      <w:pPr>
        <w:pStyle w:val="affe"/>
        <w:tabs>
          <w:tab w:val="clear" w:pos="360"/>
        </w:tabs>
        <w:spacing w:beforeLines="100" w:before="312" w:afterLines="100" w:after="312"/>
        <w:outlineLvl w:val="0"/>
        <w:rPr>
          <w:rFonts w:hAnsi="黑体" w:cs="黑体"/>
          <w:szCs w:val="22"/>
        </w:rPr>
      </w:pPr>
      <w:bookmarkStart w:id="30" w:name="_Toc39653566"/>
      <w:r>
        <w:rPr>
          <w:rFonts w:hAnsi="黑体" w:cs="黑体" w:hint="eastAsia"/>
          <w:szCs w:val="22"/>
        </w:rPr>
        <w:lastRenderedPageBreak/>
        <w:t>6  评估步骤</w:t>
      </w:r>
      <w:bookmarkEnd w:id="30"/>
    </w:p>
    <w:p w14:paraId="5FF02CEA" w14:textId="77777777" w:rsidR="00B752A8" w:rsidRDefault="00C46237">
      <w:pPr>
        <w:spacing w:beforeLines="50" w:before="156"/>
        <w:outlineLvl w:val="1"/>
        <w:rPr>
          <w:rFonts w:ascii="黑体" w:eastAsia="黑体" w:hAnsi="黑体" w:cs="黑体"/>
        </w:rPr>
      </w:pPr>
      <w:r>
        <w:rPr>
          <w:rFonts w:ascii="黑体" w:eastAsia="黑体" w:hAnsi="黑体" w:cs="黑体" w:hint="eastAsia"/>
        </w:rPr>
        <w:t>6.1  基础资料和数据收集</w:t>
      </w:r>
    </w:p>
    <w:p w14:paraId="1BF7E50D" w14:textId="77777777" w:rsidR="00B752A8" w:rsidRDefault="00C46237">
      <w:pPr>
        <w:ind w:firstLineChars="200" w:firstLine="420"/>
        <w:rPr>
          <w:color w:val="333333"/>
          <w:szCs w:val="21"/>
        </w:rPr>
      </w:pPr>
      <w:r>
        <w:rPr>
          <w:color w:val="333333"/>
          <w:szCs w:val="21"/>
        </w:rPr>
        <w:t>在食用农产品产地</w:t>
      </w:r>
      <w:r>
        <w:rPr>
          <w:rFonts w:hint="eastAsia"/>
          <w:color w:val="333333"/>
          <w:szCs w:val="21"/>
        </w:rPr>
        <w:t>重金属</w:t>
      </w:r>
      <w:r>
        <w:rPr>
          <w:color w:val="333333"/>
          <w:szCs w:val="21"/>
        </w:rPr>
        <w:t>风险评估工作开展之前，应收</w:t>
      </w:r>
      <w:proofErr w:type="gramStart"/>
      <w:r>
        <w:rPr>
          <w:color w:val="333333"/>
          <w:szCs w:val="21"/>
        </w:rPr>
        <w:t>集相关</w:t>
      </w:r>
      <w:proofErr w:type="gramEnd"/>
      <w:r>
        <w:rPr>
          <w:color w:val="333333"/>
          <w:szCs w:val="21"/>
        </w:rPr>
        <w:t>资料，包括但不限于以下内容：</w:t>
      </w:r>
    </w:p>
    <w:p w14:paraId="101AE79C" w14:textId="77777777" w:rsidR="00B752A8" w:rsidRDefault="00C46237">
      <w:pPr>
        <w:ind w:firstLineChars="200" w:firstLine="420"/>
        <w:rPr>
          <w:color w:val="333333"/>
          <w:szCs w:val="21"/>
        </w:rPr>
      </w:pPr>
      <w:r>
        <w:t>——</w:t>
      </w:r>
      <w:r>
        <w:t>基础图件资料：</w:t>
      </w:r>
      <w:r>
        <w:rPr>
          <w:color w:val="333333"/>
          <w:szCs w:val="21"/>
        </w:rPr>
        <w:t>主要包括行政区划、土地利用现状、土壤类型、地形地貌、河流水系等矢量图件及最新高分遥感影像数据。</w:t>
      </w:r>
    </w:p>
    <w:p w14:paraId="733414E0" w14:textId="77777777" w:rsidR="00B752A8" w:rsidRDefault="00C46237">
      <w:pPr>
        <w:ind w:firstLineChars="200" w:firstLine="420"/>
        <w:rPr>
          <w:color w:val="333333"/>
          <w:szCs w:val="21"/>
        </w:rPr>
      </w:pPr>
      <w:r>
        <w:t>——</w:t>
      </w:r>
      <w:r>
        <w:t>区域自然环境资料：</w:t>
      </w:r>
      <w:r>
        <w:rPr>
          <w:color w:val="333333"/>
          <w:szCs w:val="21"/>
        </w:rPr>
        <w:t>主要包括地理位置、土壤</w:t>
      </w:r>
      <w:r>
        <w:rPr>
          <w:color w:val="333333"/>
          <w:szCs w:val="21"/>
        </w:rPr>
        <w:t>pH</w:t>
      </w:r>
      <w:r>
        <w:rPr>
          <w:color w:val="333333"/>
          <w:szCs w:val="21"/>
        </w:rPr>
        <w:t>、成土母质、植被、气候与气象、自然灾害等。</w:t>
      </w:r>
    </w:p>
    <w:p w14:paraId="3011C0F9" w14:textId="77777777" w:rsidR="00B752A8" w:rsidRDefault="00C46237">
      <w:pPr>
        <w:ind w:firstLineChars="200" w:firstLine="420"/>
        <w:rPr>
          <w:color w:val="333333"/>
          <w:szCs w:val="21"/>
        </w:rPr>
      </w:pPr>
      <w:r>
        <w:t>——</w:t>
      </w:r>
      <w:r>
        <w:rPr>
          <w:rFonts w:hint="eastAsia"/>
        </w:rPr>
        <w:t>区域农业生产与社会经济</w:t>
      </w:r>
      <w:r>
        <w:t>资料：</w:t>
      </w:r>
      <w:r>
        <w:rPr>
          <w:color w:val="333333"/>
          <w:szCs w:val="21"/>
        </w:rPr>
        <w:t>主要包括灌溉水源、人口状况、农业生产、工业布局、农田水利和农村能源结构情况，当地人均收入水平、主栽食用农产品、种植结构和耕作制度等。</w:t>
      </w:r>
    </w:p>
    <w:p w14:paraId="3424E401" w14:textId="77777777" w:rsidR="00B752A8" w:rsidRDefault="00C46237">
      <w:pPr>
        <w:ind w:firstLineChars="200" w:firstLine="420"/>
        <w:rPr>
          <w:color w:val="333333"/>
          <w:szCs w:val="21"/>
        </w:rPr>
      </w:pPr>
      <w:r>
        <w:t>——</w:t>
      </w:r>
      <w:r>
        <w:rPr>
          <w:rFonts w:hint="eastAsia"/>
        </w:rPr>
        <w:t>重点</w:t>
      </w:r>
      <w:r>
        <w:t>污染源资料：</w:t>
      </w:r>
      <w:r>
        <w:rPr>
          <w:color w:val="333333"/>
          <w:szCs w:val="21"/>
        </w:rPr>
        <w:t>主要包括行政区域内重点土壤污染工矿企业所属行业类型、空间位置分布，主要污染物种类及排放途径；农业灌溉水质量，农药、化肥、农膜等农业投入品的使用情况及畜禽养殖废弃物处理处置情况，固体废物堆存、处理处置场所分布等。</w:t>
      </w:r>
    </w:p>
    <w:p w14:paraId="064BC226" w14:textId="77777777" w:rsidR="00B752A8" w:rsidRDefault="00C46237">
      <w:pPr>
        <w:ind w:firstLineChars="200" w:firstLine="420"/>
        <w:rPr>
          <w:color w:val="333333"/>
          <w:szCs w:val="21"/>
        </w:rPr>
      </w:pPr>
      <w:r>
        <w:rPr>
          <w:color w:val="333333"/>
          <w:szCs w:val="21"/>
        </w:rPr>
        <w:t>——</w:t>
      </w:r>
      <w:r>
        <w:t>土壤环境和农产品质量数据：</w:t>
      </w:r>
      <w:r>
        <w:rPr>
          <w:rFonts w:hint="eastAsia"/>
          <w:color w:val="333333"/>
          <w:szCs w:val="21"/>
        </w:rPr>
        <w:t>收集评估区域内多年来的土壤与农产品重金属含量数据。数据来源主要包括：全国农用地土壤污染状况详查、农产品产地土壤重金属污染普查、多目标区域地球化学调查、农产品产地土壤重金属监测等</w:t>
      </w:r>
      <w:r>
        <w:rPr>
          <w:color w:val="333333"/>
          <w:szCs w:val="21"/>
        </w:rPr>
        <w:t>历史</w:t>
      </w:r>
      <w:r>
        <w:rPr>
          <w:rFonts w:hint="eastAsia"/>
          <w:color w:val="333333"/>
          <w:szCs w:val="21"/>
        </w:rPr>
        <w:t>性</w:t>
      </w:r>
      <w:r>
        <w:rPr>
          <w:color w:val="333333"/>
          <w:szCs w:val="21"/>
        </w:rPr>
        <w:t>土壤</w:t>
      </w:r>
      <w:r>
        <w:rPr>
          <w:rFonts w:hint="eastAsia"/>
          <w:color w:val="333333"/>
          <w:szCs w:val="21"/>
        </w:rPr>
        <w:t>污染调查</w:t>
      </w:r>
      <w:r>
        <w:rPr>
          <w:color w:val="333333"/>
          <w:szCs w:val="21"/>
        </w:rPr>
        <w:t>数据</w:t>
      </w:r>
      <w:r>
        <w:rPr>
          <w:rFonts w:hint="eastAsia"/>
          <w:color w:val="333333"/>
          <w:szCs w:val="21"/>
        </w:rPr>
        <w:t>，其他生态环境、农业农村、自然资源等部门相关调查数据，相关科学研究的调查数据等。要依据相关标准和规范，对有关数据质量进行审核，剔除无效数据，保障数据质量。</w:t>
      </w:r>
    </w:p>
    <w:p w14:paraId="2363DFBB" w14:textId="77777777" w:rsidR="00B752A8" w:rsidRDefault="00C46237">
      <w:pPr>
        <w:spacing w:beforeLines="50" w:before="156"/>
        <w:outlineLvl w:val="1"/>
        <w:rPr>
          <w:rFonts w:ascii="黑体" w:eastAsia="黑体" w:hAnsi="黑体" w:cs="黑体"/>
        </w:rPr>
      </w:pPr>
      <w:r>
        <w:rPr>
          <w:rFonts w:ascii="黑体" w:eastAsia="黑体" w:hAnsi="黑体" w:cs="黑体" w:hint="eastAsia"/>
        </w:rPr>
        <w:t>6.2  划分调查单元</w:t>
      </w:r>
    </w:p>
    <w:p w14:paraId="498ADE0D" w14:textId="77777777" w:rsidR="00B752A8" w:rsidRDefault="00C46237">
      <w:pPr>
        <w:ind w:firstLineChars="200" w:firstLine="420"/>
        <w:rPr>
          <w:color w:val="333333"/>
          <w:szCs w:val="21"/>
        </w:rPr>
      </w:pPr>
      <w:r>
        <w:rPr>
          <w:rFonts w:hint="eastAsia"/>
          <w:color w:val="333333"/>
          <w:szCs w:val="21"/>
        </w:rPr>
        <w:t>将评估区域与全国农用地土壤污染状况详查中的评价单元（分优先保护、安全利用与严格管控</w:t>
      </w:r>
      <w:r>
        <w:rPr>
          <w:rFonts w:hint="eastAsia"/>
          <w:color w:val="333333"/>
          <w:szCs w:val="21"/>
        </w:rPr>
        <w:t>3</w:t>
      </w:r>
      <w:r>
        <w:rPr>
          <w:rFonts w:hint="eastAsia"/>
          <w:color w:val="333333"/>
          <w:szCs w:val="21"/>
        </w:rPr>
        <w:t>类，以下简称详查评价单元）及自然资源部门最新土地利用现状图（按水田及其他</w:t>
      </w:r>
      <w:r>
        <w:rPr>
          <w:rFonts w:hint="eastAsia"/>
          <w:color w:val="333333"/>
          <w:szCs w:val="21"/>
        </w:rPr>
        <w:t>2</w:t>
      </w:r>
      <w:r>
        <w:rPr>
          <w:rFonts w:hint="eastAsia"/>
          <w:color w:val="333333"/>
          <w:szCs w:val="21"/>
        </w:rPr>
        <w:t>类）叠加合并，使评估区域分割为不同污染程度的调查单元。若没有或无法获取详查评价单元，可直接叠加土地利用现状图，将评价区域划分为水田、其他等</w:t>
      </w:r>
      <w:r>
        <w:rPr>
          <w:rFonts w:hint="eastAsia"/>
          <w:color w:val="333333"/>
          <w:szCs w:val="21"/>
        </w:rPr>
        <w:t>2</w:t>
      </w:r>
      <w:r>
        <w:rPr>
          <w:rFonts w:hint="eastAsia"/>
          <w:color w:val="333333"/>
          <w:szCs w:val="21"/>
        </w:rPr>
        <w:t>类调查单元。</w:t>
      </w:r>
    </w:p>
    <w:p w14:paraId="6F757FBF" w14:textId="77777777" w:rsidR="00B752A8" w:rsidRDefault="00C46237">
      <w:pPr>
        <w:spacing w:beforeLines="50" w:before="156"/>
        <w:outlineLvl w:val="1"/>
        <w:rPr>
          <w:rFonts w:ascii="黑体" w:eastAsia="黑体" w:hAnsi="黑体" w:cs="黑体"/>
        </w:rPr>
      </w:pPr>
      <w:r>
        <w:rPr>
          <w:rFonts w:ascii="黑体" w:eastAsia="黑体" w:hAnsi="黑体" w:cs="黑体" w:hint="eastAsia"/>
        </w:rPr>
        <w:t>6.3  补充调查</w:t>
      </w:r>
    </w:p>
    <w:p w14:paraId="09B2B93A" w14:textId="77777777" w:rsidR="00B752A8" w:rsidRDefault="00C46237">
      <w:pPr>
        <w:outlineLvl w:val="2"/>
        <w:rPr>
          <w:rFonts w:ascii="黑体" w:eastAsia="黑体" w:hAnsi="黑体" w:cs="黑体"/>
        </w:rPr>
      </w:pPr>
      <w:r>
        <w:rPr>
          <w:rFonts w:ascii="黑体" w:eastAsia="黑体" w:hAnsi="黑体" w:cs="黑体" w:hint="eastAsia"/>
        </w:rPr>
        <w:t>6.3.1  补充布点</w:t>
      </w:r>
    </w:p>
    <w:p w14:paraId="28789CD8" w14:textId="77777777" w:rsidR="00B752A8" w:rsidRDefault="00C46237">
      <w:pPr>
        <w:ind w:firstLineChars="200" w:firstLine="420"/>
        <w:rPr>
          <w:color w:val="333333"/>
          <w:szCs w:val="21"/>
        </w:rPr>
      </w:pPr>
      <w:r>
        <w:rPr>
          <w:color w:val="333333"/>
          <w:szCs w:val="21"/>
        </w:rPr>
        <w:t>根据大样本理论，</w:t>
      </w:r>
      <w:r>
        <w:rPr>
          <w:rFonts w:hint="eastAsia"/>
          <w:color w:val="333333"/>
          <w:szCs w:val="21"/>
        </w:rPr>
        <w:t>应确保</w:t>
      </w:r>
      <w:r>
        <w:rPr>
          <w:color w:val="333333"/>
          <w:szCs w:val="21"/>
        </w:rPr>
        <w:t>每个</w:t>
      </w:r>
      <w:r>
        <w:rPr>
          <w:rFonts w:hint="eastAsia"/>
          <w:color w:val="333333"/>
          <w:szCs w:val="21"/>
        </w:rPr>
        <w:t>调查</w:t>
      </w:r>
      <w:r>
        <w:rPr>
          <w:color w:val="333333"/>
          <w:szCs w:val="21"/>
        </w:rPr>
        <w:t>单元内</w:t>
      </w:r>
      <w:r>
        <w:rPr>
          <w:rFonts w:hint="eastAsia"/>
          <w:color w:val="333333"/>
          <w:szCs w:val="21"/>
        </w:rPr>
        <w:t>用于风险评估的土壤</w:t>
      </w:r>
      <w:r>
        <w:rPr>
          <w:rFonts w:hint="eastAsia"/>
          <w:color w:val="333333"/>
          <w:szCs w:val="21"/>
        </w:rPr>
        <w:t>-</w:t>
      </w:r>
      <w:r>
        <w:rPr>
          <w:rFonts w:hint="eastAsia"/>
          <w:color w:val="333333"/>
          <w:szCs w:val="21"/>
        </w:rPr>
        <w:t>农产品数据一一对应的点位（以下简称成对点位）不少于</w:t>
      </w:r>
      <w:r>
        <w:rPr>
          <w:rFonts w:hint="eastAsia"/>
          <w:color w:val="333333"/>
          <w:szCs w:val="21"/>
        </w:rPr>
        <w:t>30</w:t>
      </w:r>
      <w:r>
        <w:rPr>
          <w:rFonts w:hint="eastAsia"/>
          <w:color w:val="333333"/>
          <w:szCs w:val="21"/>
        </w:rPr>
        <w:t>个。对于历史性成对点位不足的调查单元，应开展补</w:t>
      </w:r>
      <w:r>
        <w:rPr>
          <w:rFonts w:hint="eastAsia"/>
          <w:color w:val="333333"/>
          <w:szCs w:val="21"/>
        </w:rPr>
        <w:lastRenderedPageBreak/>
        <w:t>充调查，补充布点密度参考表</w:t>
      </w:r>
      <w:r>
        <w:rPr>
          <w:rFonts w:hint="eastAsia"/>
          <w:color w:val="333333"/>
          <w:szCs w:val="21"/>
        </w:rPr>
        <w:t>1</w:t>
      </w:r>
      <w:r>
        <w:rPr>
          <w:rFonts w:hint="eastAsia"/>
          <w:color w:val="333333"/>
          <w:szCs w:val="21"/>
        </w:rPr>
        <w:t>。</w:t>
      </w:r>
      <w:proofErr w:type="gramStart"/>
      <w:r>
        <w:rPr>
          <w:rFonts w:hint="eastAsia"/>
          <w:color w:val="333333"/>
          <w:szCs w:val="21"/>
        </w:rPr>
        <w:t>若调查</w:t>
      </w:r>
      <w:proofErr w:type="gramEnd"/>
      <w:r>
        <w:rPr>
          <w:rFonts w:hint="eastAsia"/>
          <w:color w:val="333333"/>
          <w:szCs w:val="21"/>
        </w:rPr>
        <w:t>单元根据布点密度计算的点位数量低于</w:t>
      </w:r>
      <w:r>
        <w:rPr>
          <w:rFonts w:hint="eastAsia"/>
          <w:color w:val="333333"/>
          <w:szCs w:val="21"/>
        </w:rPr>
        <w:t>30</w:t>
      </w:r>
      <w:r>
        <w:rPr>
          <w:rFonts w:hint="eastAsia"/>
          <w:color w:val="333333"/>
          <w:szCs w:val="21"/>
        </w:rPr>
        <w:t>个，则按照</w:t>
      </w:r>
      <w:r>
        <w:rPr>
          <w:rFonts w:hint="eastAsia"/>
          <w:color w:val="333333"/>
          <w:szCs w:val="21"/>
        </w:rPr>
        <w:t>30</w:t>
      </w:r>
      <w:r>
        <w:rPr>
          <w:rFonts w:hint="eastAsia"/>
          <w:color w:val="333333"/>
          <w:szCs w:val="21"/>
        </w:rPr>
        <w:t>个计。如调查单元面积较小、地形破碎，或</w:t>
      </w:r>
      <w:r>
        <w:rPr>
          <w:color w:val="333333"/>
          <w:szCs w:val="21"/>
        </w:rPr>
        <w:t>土壤与农产品重金属含量变异</w:t>
      </w:r>
      <w:r>
        <w:rPr>
          <w:rFonts w:hint="eastAsia"/>
          <w:color w:val="333333"/>
          <w:szCs w:val="21"/>
        </w:rPr>
        <w:t>较大</w:t>
      </w:r>
      <w:r>
        <w:rPr>
          <w:color w:val="333333"/>
          <w:szCs w:val="21"/>
        </w:rPr>
        <w:t>，</w:t>
      </w:r>
      <w:r>
        <w:rPr>
          <w:rFonts w:hint="eastAsia"/>
          <w:color w:val="333333"/>
          <w:szCs w:val="21"/>
        </w:rPr>
        <w:t>可适当提高</w:t>
      </w:r>
      <w:r>
        <w:rPr>
          <w:color w:val="333333"/>
          <w:szCs w:val="21"/>
        </w:rPr>
        <w:t>布点密度；当地形平坦、种植结构单一、土壤类型单一时，可酌情降低布点</w:t>
      </w:r>
      <w:r>
        <w:rPr>
          <w:rFonts w:hint="eastAsia"/>
          <w:color w:val="333333"/>
          <w:szCs w:val="21"/>
        </w:rPr>
        <w:t>密度</w:t>
      </w:r>
      <w:r>
        <w:rPr>
          <w:color w:val="333333"/>
          <w:szCs w:val="21"/>
        </w:rPr>
        <w:t>。</w:t>
      </w:r>
    </w:p>
    <w:p w14:paraId="3625DBD8" w14:textId="77777777" w:rsidR="00B752A8" w:rsidRDefault="00C46237" w:rsidP="004B176C">
      <w:pPr>
        <w:spacing w:beforeLines="50" w:before="156"/>
        <w:jc w:val="center"/>
        <w:rPr>
          <w:rFonts w:ascii="黑体" w:eastAsia="黑体" w:hAnsi="黑体" w:cs="黑体"/>
          <w:color w:val="333333"/>
          <w:szCs w:val="21"/>
          <w:vertAlign w:val="superscript"/>
        </w:rPr>
      </w:pPr>
      <w:r>
        <w:rPr>
          <w:rFonts w:ascii="黑体" w:eastAsia="黑体" w:hAnsi="黑体" w:cs="黑体" w:hint="eastAsia"/>
          <w:color w:val="333333"/>
          <w:szCs w:val="21"/>
        </w:rPr>
        <w:t>表1  调查单元成对点位布点密度</w:t>
      </w:r>
    </w:p>
    <w:tbl>
      <w:tblPr>
        <w:tblStyle w:val="af0"/>
        <w:tblW w:w="5000" w:type="pct"/>
        <w:jc w:val="center"/>
        <w:tblLook w:val="04A0" w:firstRow="1" w:lastRow="0" w:firstColumn="1" w:lastColumn="0" w:noHBand="0" w:noVBand="1"/>
      </w:tblPr>
      <w:tblGrid>
        <w:gridCol w:w="1056"/>
        <w:gridCol w:w="2488"/>
        <w:gridCol w:w="2488"/>
        <w:gridCol w:w="2490"/>
      </w:tblGrid>
      <w:tr w:rsidR="00B752A8" w14:paraId="19A8CDDE" w14:textId="77777777">
        <w:trPr>
          <w:jc w:val="center"/>
        </w:trPr>
        <w:tc>
          <w:tcPr>
            <w:tcW w:w="619" w:type="pct"/>
          </w:tcPr>
          <w:p w14:paraId="656FAAFC" w14:textId="77777777" w:rsidR="00B752A8" w:rsidRDefault="00C46237">
            <w:pPr>
              <w:widowControl/>
              <w:rPr>
                <w:b/>
                <w:bCs/>
                <w:color w:val="333333"/>
                <w:sz w:val="20"/>
                <w:szCs w:val="20"/>
              </w:rPr>
            </w:pPr>
            <w:r>
              <w:rPr>
                <w:rFonts w:hint="eastAsia"/>
                <w:b/>
                <w:bCs/>
                <w:color w:val="333333"/>
                <w:sz w:val="20"/>
                <w:szCs w:val="20"/>
              </w:rPr>
              <w:t>类型</w:t>
            </w:r>
          </w:p>
        </w:tc>
        <w:tc>
          <w:tcPr>
            <w:tcW w:w="1459" w:type="pct"/>
          </w:tcPr>
          <w:p w14:paraId="07FF6443" w14:textId="77777777" w:rsidR="00B752A8" w:rsidRDefault="00C46237">
            <w:pPr>
              <w:widowControl/>
              <w:rPr>
                <w:b/>
                <w:bCs/>
                <w:color w:val="333333"/>
                <w:sz w:val="20"/>
                <w:szCs w:val="20"/>
                <w:vertAlign w:val="superscript"/>
              </w:rPr>
            </w:pPr>
            <w:r>
              <w:rPr>
                <w:rFonts w:hint="eastAsia"/>
                <w:b/>
                <w:bCs/>
                <w:color w:val="333333"/>
                <w:sz w:val="20"/>
                <w:szCs w:val="20"/>
              </w:rPr>
              <w:t>优先保护类</w:t>
            </w:r>
          </w:p>
        </w:tc>
        <w:tc>
          <w:tcPr>
            <w:tcW w:w="1459" w:type="pct"/>
          </w:tcPr>
          <w:p w14:paraId="6BB6023A" w14:textId="77777777" w:rsidR="00B752A8" w:rsidRDefault="00C46237">
            <w:pPr>
              <w:widowControl/>
              <w:rPr>
                <w:b/>
                <w:bCs/>
                <w:color w:val="333333"/>
                <w:sz w:val="20"/>
                <w:szCs w:val="20"/>
              </w:rPr>
            </w:pPr>
            <w:r>
              <w:rPr>
                <w:rFonts w:hint="eastAsia"/>
                <w:b/>
                <w:bCs/>
                <w:color w:val="333333"/>
                <w:sz w:val="20"/>
                <w:szCs w:val="20"/>
              </w:rPr>
              <w:t>安全利用类</w:t>
            </w:r>
          </w:p>
        </w:tc>
        <w:tc>
          <w:tcPr>
            <w:tcW w:w="1460" w:type="pct"/>
          </w:tcPr>
          <w:p w14:paraId="40806B7F" w14:textId="77777777" w:rsidR="00B752A8" w:rsidRDefault="00C46237">
            <w:pPr>
              <w:widowControl/>
              <w:rPr>
                <w:b/>
                <w:bCs/>
                <w:color w:val="333333"/>
                <w:sz w:val="20"/>
                <w:szCs w:val="20"/>
              </w:rPr>
            </w:pPr>
            <w:r>
              <w:rPr>
                <w:rFonts w:hint="eastAsia"/>
                <w:b/>
                <w:bCs/>
                <w:color w:val="333333"/>
                <w:sz w:val="20"/>
                <w:szCs w:val="20"/>
              </w:rPr>
              <w:t>严格</w:t>
            </w:r>
            <w:proofErr w:type="gramStart"/>
            <w:r>
              <w:rPr>
                <w:rFonts w:hint="eastAsia"/>
                <w:b/>
                <w:bCs/>
                <w:color w:val="333333"/>
                <w:sz w:val="20"/>
                <w:szCs w:val="20"/>
              </w:rPr>
              <w:t>管控类</w:t>
            </w:r>
            <w:proofErr w:type="gramEnd"/>
          </w:p>
        </w:tc>
      </w:tr>
      <w:tr w:rsidR="00B752A8" w14:paraId="43359240" w14:textId="77777777">
        <w:trPr>
          <w:jc w:val="center"/>
        </w:trPr>
        <w:tc>
          <w:tcPr>
            <w:tcW w:w="619" w:type="pct"/>
          </w:tcPr>
          <w:p w14:paraId="7BEE723F" w14:textId="77777777" w:rsidR="00B752A8" w:rsidRDefault="00C46237">
            <w:pPr>
              <w:widowControl/>
              <w:rPr>
                <w:color w:val="333333"/>
                <w:sz w:val="20"/>
                <w:szCs w:val="20"/>
              </w:rPr>
            </w:pPr>
            <w:r>
              <w:rPr>
                <w:rFonts w:hint="eastAsia"/>
                <w:color w:val="333333"/>
                <w:sz w:val="20"/>
                <w:szCs w:val="20"/>
              </w:rPr>
              <w:t>水田</w:t>
            </w:r>
          </w:p>
        </w:tc>
        <w:tc>
          <w:tcPr>
            <w:tcW w:w="1459" w:type="pct"/>
          </w:tcPr>
          <w:p w14:paraId="05A1C85C" w14:textId="77777777" w:rsidR="00B752A8" w:rsidRDefault="00C46237">
            <w:pPr>
              <w:widowControl/>
              <w:rPr>
                <w:color w:val="333333"/>
                <w:sz w:val="20"/>
                <w:szCs w:val="20"/>
              </w:rPr>
            </w:pPr>
            <w:r>
              <w:rPr>
                <w:rFonts w:hint="eastAsia"/>
                <w:color w:val="333333"/>
                <w:sz w:val="20"/>
                <w:szCs w:val="20"/>
              </w:rPr>
              <w:t>150-500</w:t>
            </w:r>
            <w:r>
              <w:rPr>
                <w:rFonts w:hint="eastAsia"/>
                <w:color w:val="333333"/>
                <w:sz w:val="20"/>
                <w:szCs w:val="20"/>
              </w:rPr>
              <w:t>亩</w:t>
            </w:r>
            <w:r>
              <w:rPr>
                <w:rFonts w:hint="eastAsia"/>
                <w:color w:val="333333"/>
                <w:sz w:val="20"/>
                <w:szCs w:val="20"/>
              </w:rPr>
              <w:t>/</w:t>
            </w:r>
            <w:r>
              <w:rPr>
                <w:rFonts w:hint="eastAsia"/>
                <w:color w:val="333333"/>
                <w:sz w:val="20"/>
                <w:szCs w:val="20"/>
              </w:rPr>
              <w:t>点</w:t>
            </w:r>
          </w:p>
        </w:tc>
        <w:tc>
          <w:tcPr>
            <w:tcW w:w="1459" w:type="pct"/>
          </w:tcPr>
          <w:p w14:paraId="2A90336F" w14:textId="77777777" w:rsidR="00B752A8" w:rsidRDefault="00C46237">
            <w:pPr>
              <w:widowControl/>
              <w:rPr>
                <w:color w:val="333333"/>
                <w:sz w:val="20"/>
                <w:szCs w:val="20"/>
              </w:rPr>
            </w:pPr>
            <w:r>
              <w:rPr>
                <w:rFonts w:hint="eastAsia"/>
                <w:color w:val="333333"/>
                <w:sz w:val="20"/>
                <w:szCs w:val="20"/>
              </w:rPr>
              <w:t>50-150</w:t>
            </w:r>
            <w:r>
              <w:rPr>
                <w:rFonts w:hint="eastAsia"/>
                <w:color w:val="333333"/>
                <w:sz w:val="20"/>
                <w:szCs w:val="20"/>
              </w:rPr>
              <w:t>亩</w:t>
            </w:r>
            <w:r>
              <w:rPr>
                <w:rFonts w:hint="eastAsia"/>
                <w:color w:val="333333"/>
                <w:sz w:val="20"/>
                <w:szCs w:val="20"/>
              </w:rPr>
              <w:t>/</w:t>
            </w:r>
            <w:r>
              <w:rPr>
                <w:rFonts w:hint="eastAsia"/>
                <w:color w:val="333333"/>
                <w:sz w:val="20"/>
                <w:szCs w:val="20"/>
              </w:rPr>
              <w:t>点</w:t>
            </w:r>
          </w:p>
        </w:tc>
        <w:tc>
          <w:tcPr>
            <w:tcW w:w="1460" w:type="pct"/>
          </w:tcPr>
          <w:p w14:paraId="79120422" w14:textId="77777777" w:rsidR="00B752A8" w:rsidRDefault="00C46237">
            <w:pPr>
              <w:widowControl/>
              <w:rPr>
                <w:color w:val="333333"/>
                <w:sz w:val="20"/>
                <w:szCs w:val="20"/>
              </w:rPr>
            </w:pPr>
            <w:r>
              <w:rPr>
                <w:rFonts w:hint="eastAsia"/>
                <w:color w:val="333333"/>
                <w:sz w:val="20"/>
                <w:szCs w:val="20"/>
              </w:rPr>
              <w:t>15-50</w:t>
            </w:r>
            <w:r>
              <w:rPr>
                <w:rFonts w:hint="eastAsia"/>
                <w:color w:val="333333"/>
                <w:sz w:val="20"/>
                <w:szCs w:val="20"/>
              </w:rPr>
              <w:t>亩</w:t>
            </w:r>
            <w:r>
              <w:rPr>
                <w:rFonts w:hint="eastAsia"/>
                <w:color w:val="333333"/>
                <w:sz w:val="20"/>
                <w:szCs w:val="20"/>
              </w:rPr>
              <w:t>/</w:t>
            </w:r>
            <w:r>
              <w:rPr>
                <w:rFonts w:hint="eastAsia"/>
                <w:color w:val="333333"/>
                <w:sz w:val="20"/>
                <w:szCs w:val="20"/>
              </w:rPr>
              <w:t>点</w:t>
            </w:r>
          </w:p>
        </w:tc>
      </w:tr>
      <w:tr w:rsidR="00B752A8" w14:paraId="6134E481" w14:textId="77777777">
        <w:trPr>
          <w:jc w:val="center"/>
        </w:trPr>
        <w:tc>
          <w:tcPr>
            <w:tcW w:w="619" w:type="pct"/>
          </w:tcPr>
          <w:p w14:paraId="79386B80" w14:textId="77777777" w:rsidR="00B752A8" w:rsidRDefault="00C46237">
            <w:pPr>
              <w:widowControl/>
              <w:rPr>
                <w:color w:val="333333"/>
                <w:sz w:val="20"/>
                <w:szCs w:val="20"/>
              </w:rPr>
            </w:pPr>
            <w:r>
              <w:rPr>
                <w:rFonts w:hint="eastAsia"/>
                <w:color w:val="333333"/>
                <w:sz w:val="20"/>
                <w:szCs w:val="20"/>
              </w:rPr>
              <w:t>其他</w:t>
            </w:r>
          </w:p>
        </w:tc>
        <w:tc>
          <w:tcPr>
            <w:tcW w:w="1459" w:type="pct"/>
          </w:tcPr>
          <w:p w14:paraId="04810DEE" w14:textId="77777777" w:rsidR="00B752A8" w:rsidRDefault="00C46237">
            <w:pPr>
              <w:widowControl/>
              <w:rPr>
                <w:color w:val="333333"/>
                <w:sz w:val="20"/>
                <w:szCs w:val="20"/>
              </w:rPr>
            </w:pPr>
            <w:r>
              <w:rPr>
                <w:rFonts w:hint="eastAsia"/>
                <w:color w:val="333333"/>
                <w:sz w:val="20"/>
                <w:szCs w:val="20"/>
              </w:rPr>
              <w:t>500-1500</w:t>
            </w:r>
            <w:r>
              <w:rPr>
                <w:rFonts w:hint="eastAsia"/>
                <w:color w:val="333333"/>
                <w:sz w:val="20"/>
                <w:szCs w:val="20"/>
              </w:rPr>
              <w:t>亩</w:t>
            </w:r>
            <w:r>
              <w:rPr>
                <w:rFonts w:hint="eastAsia"/>
                <w:color w:val="333333"/>
                <w:sz w:val="20"/>
                <w:szCs w:val="20"/>
              </w:rPr>
              <w:t>/</w:t>
            </w:r>
            <w:r>
              <w:rPr>
                <w:rFonts w:hint="eastAsia"/>
                <w:color w:val="333333"/>
                <w:sz w:val="20"/>
                <w:szCs w:val="20"/>
              </w:rPr>
              <w:t>点</w:t>
            </w:r>
          </w:p>
        </w:tc>
        <w:tc>
          <w:tcPr>
            <w:tcW w:w="1459" w:type="pct"/>
          </w:tcPr>
          <w:p w14:paraId="660023D3" w14:textId="77777777" w:rsidR="00B752A8" w:rsidRDefault="00C46237">
            <w:pPr>
              <w:widowControl/>
              <w:rPr>
                <w:color w:val="333333"/>
                <w:sz w:val="20"/>
                <w:szCs w:val="20"/>
              </w:rPr>
            </w:pPr>
            <w:r>
              <w:rPr>
                <w:rFonts w:hint="eastAsia"/>
                <w:color w:val="333333"/>
                <w:sz w:val="20"/>
                <w:szCs w:val="20"/>
              </w:rPr>
              <w:t>150-500</w:t>
            </w:r>
            <w:r>
              <w:rPr>
                <w:rFonts w:hint="eastAsia"/>
                <w:color w:val="333333"/>
                <w:sz w:val="20"/>
                <w:szCs w:val="20"/>
              </w:rPr>
              <w:t>亩</w:t>
            </w:r>
            <w:r>
              <w:rPr>
                <w:rFonts w:hint="eastAsia"/>
                <w:color w:val="333333"/>
                <w:sz w:val="20"/>
                <w:szCs w:val="20"/>
              </w:rPr>
              <w:t>/</w:t>
            </w:r>
            <w:r>
              <w:rPr>
                <w:rFonts w:hint="eastAsia"/>
                <w:color w:val="333333"/>
                <w:sz w:val="20"/>
                <w:szCs w:val="20"/>
              </w:rPr>
              <w:t>点</w:t>
            </w:r>
          </w:p>
        </w:tc>
        <w:tc>
          <w:tcPr>
            <w:tcW w:w="1460" w:type="pct"/>
          </w:tcPr>
          <w:p w14:paraId="2E6B309E" w14:textId="77777777" w:rsidR="00B752A8" w:rsidRDefault="00C46237">
            <w:pPr>
              <w:widowControl/>
              <w:rPr>
                <w:color w:val="333333"/>
                <w:sz w:val="20"/>
                <w:szCs w:val="20"/>
              </w:rPr>
            </w:pPr>
            <w:r>
              <w:rPr>
                <w:rFonts w:hint="eastAsia"/>
                <w:color w:val="333333"/>
                <w:sz w:val="20"/>
                <w:szCs w:val="20"/>
              </w:rPr>
              <w:t>50-150</w:t>
            </w:r>
            <w:r>
              <w:rPr>
                <w:rFonts w:hint="eastAsia"/>
                <w:color w:val="333333"/>
                <w:sz w:val="20"/>
                <w:szCs w:val="20"/>
              </w:rPr>
              <w:t>亩</w:t>
            </w:r>
            <w:r>
              <w:rPr>
                <w:rFonts w:hint="eastAsia"/>
                <w:color w:val="333333"/>
                <w:sz w:val="20"/>
                <w:szCs w:val="20"/>
              </w:rPr>
              <w:t>/</w:t>
            </w:r>
            <w:r>
              <w:rPr>
                <w:rFonts w:hint="eastAsia"/>
                <w:color w:val="333333"/>
                <w:sz w:val="20"/>
                <w:szCs w:val="20"/>
              </w:rPr>
              <w:t>点</w:t>
            </w:r>
          </w:p>
        </w:tc>
      </w:tr>
    </w:tbl>
    <w:p w14:paraId="452F112A" w14:textId="77777777" w:rsidR="00B752A8" w:rsidRDefault="00C46237">
      <w:pPr>
        <w:spacing w:line="276" w:lineRule="auto"/>
        <w:ind w:left="700" w:hangingChars="350" w:hanging="700"/>
        <w:rPr>
          <w:sz w:val="20"/>
          <w:szCs w:val="20"/>
        </w:rPr>
      </w:pPr>
      <w:r>
        <w:rPr>
          <w:sz w:val="20"/>
          <w:szCs w:val="20"/>
        </w:rPr>
        <w:t>注：</w:t>
      </w:r>
      <w:r>
        <w:rPr>
          <w:rFonts w:hint="eastAsia"/>
          <w:sz w:val="20"/>
          <w:szCs w:val="20"/>
        </w:rPr>
        <w:t xml:space="preserve">1. </w:t>
      </w:r>
      <w:r>
        <w:rPr>
          <w:sz w:val="20"/>
          <w:szCs w:val="20"/>
        </w:rPr>
        <w:t>每个调查单元内应确保历史性及补充调查成对点位之和不低于</w:t>
      </w:r>
      <w:r>
        <w:rPr>
          <w:sz w:val="20"/>
          <w:szCs w:val="20"/>
        </w:rPr>
        <w:t>30</w:t>
      </w:r>
      <w:r>
        <w:rPr>
          <w:sz w:val="20"/>
          <w:szCs w:val="20"/>
        </w:rPr>
        <w:t>个</w:t>
      </w:r>
      <w:r>
        <w:rPr>
          <w:rFonts w:hint="eastAsia"/>
          <w:sz w:val="20"/>
          <w:szCs w:val="20"/>
        </w:rPr>
        <w:t>。例如</w:t>
      </w:r>
      <w:proofErr w:type="gramStart"/>
      <w:r>
        <w:rPr>
          <w:rFonts w:hint="eastAsia"/>
          <w:sz w:val="20"/>
          <w:szCs w:val="20"/>
        </w:rPr>
        <w:t>某评价</w:t>
      </w:r>
      <w:proofErr w:type="gramEnd"/>
      <w:r>
        <w:rPr>
          <w:rFonts w:hint="eastAsia"/>
          <w:sz w:val="20"/>
          <w:szCs w:val="20"/>
        </w:rPr>
        <w:t>区域</w:t>
      </w:r>
      <w:r>
        <w:rPr>
          <w:rFonts w:hint="eastAsia"/>
          <w:sz w:val="20"/>
          <w:szCs w:val="20"/>
        </w:rPr>
        <w:t>1200</w:t>
      </w:r>
      <w:r>
        <w:rPr>
          <w:rFonts w:hint="eastAsia"/>
          <w:sz w:val="20"/>
          <w:szCs w:val="20"/>
        </w:rPr>
        <w:t>亩，全部为水田，分为</w:t>
      </w:r>
      <w:r>
        <w:rPr>
          <w:rFonts w:hint="eastAsia"/>
          <w:sz w:val="20"/>
          <w:szCs w:val="20"/>
        </w:rPr>
        <w:t>2</w:t>
      </w:r>
      <w:r>
        <w:rPr>
          <w:rFonts w:hint="eastAsia"/>
          <w:sz w:val="20"/>
          <w:szCs w:val="20"/>
        </w:rPr>
        <w:t>个调查单元，其中安全利用类调查单元</w:t>
      </w:r>
      <w:r>
        <w:rPr>
          <w:rFonts w:hint="eastAsia"/>
          <w:sz w:val="20"/>
          <w:szCs w:val="20"/>
        </w:rPr>
        <w:t>500</w:t>
      </w:r>
      <w:r>
        <w:rPr>
          <w:rFonts w:hint="eastAsia"/>
          <w:sz w:val="20"/>
          <w:szCs w:val="20"/>
        </w:rPr>
        <w:t>亩，历史性成对点位</w:t>
      </w:r>
      <w:r>
        <w:rPr>
          <w:rFonts w:hint="eastAsia"/>
          <w:sz w:val="20"/>
          <w:szCs w:val="20"/>
        </w:rPr>
        <w:t>3</w:t>
      </w:r>
      <w:r>
        <w:rPr>
          <w:rFonts w:hint="eastAsia"/>
          <w:sz w:val="20"/>
          <w:szCs w:val="20"/>
        </w:rPr>
        <w:t>个；严格</w:t>
      </w:r>
      <w:proofErr w:type="gramStart"/>
      <w:r>
        <w:rPr>
          <w:rFonts w:hint="eastAsia"/>
          <w:sz w:val="20"/>
          <w:szCs w:val="20"/>
        </w:rPr>
        <w:t>管控类调查</w:t>
      </w:r>
      <w:proofErr w:type="gramEnd"/>
      <w:r>
        <w:rPr>
          <w:rFonts w:hint="eastAsia"/>
          <w:sz w:val="20"/>
          <w:szCs w:val="20"/>
        </w:rPr>
        <w:t>单元</w:t>
      </w:r>
      <w:r>
        <w:rPr>
          <w:rFonts w:hint="eastAsia"/>
          <w:sz w:val="20"/>
          <w:szCs w:val="20"/>
        </w:rPr>
        <w:t>700</w:t>
      </w:r>
      <w:r>
        <w:rPr>
          <w:rFonts w:hint="eastAsia"/>
          <w:sz w:val="20"/>
          <w:szCs w:val="20"/>
        </w:rPr>
        <w:t>亩，历史性成对点位</w:t>
      </w:r>
      <w:r>
        <w:rPr>
          <w:rFonts w:hint="eastAsia"/>
          <w:sz w:val="20"/>
          <w:szCs w:val="20"/>
        </w:rPr>
        <w:t>4</w:t>
      </w:r>
      <w:r>
        <w:rPr>
          <w:rFonts w:hint="eastAsia"/>
          <w:sz w:val="20"/>
          <w:szCs w:val="20"/>
        </w:rPr>
        <w:t>个。则安全利用类调查单元至少还需要补充成对点位</w:t>
      </w:r>
      <w:r>
        <w:rPr>
          <w:rFonts w:hint="eastAsia"/>
          <w:sz w:val="20"/>
          <w:szCs w:val="20"/>
        </w:rPr>
        <w:t>27</w:t>
      </w:r>
      <w:r>
        <w:rPr>
          <w:rFonts w:hint="eastAsia"/>
          <w:sz w:val="20"/>
          <w:szCs w:val="20"/>
        </w:rPr>
        <w:t>个，严格</w:t>
      </w:r>
      <w:proofErr w:type="gramStart"/>
      <w:r>
        <w:rPr>
          <w:rFonts w:hint="eastAsia"/>
          <w:sz w:val="20"/>
          <w:szCs w:val="20"/>
        </w:rPr>
        <w:t>管控类调查</w:t>
      </w:r>
      <w:proofErr w:type="gramEnd"/>
      <w:r>
        <w:rPr>
          <w:rFonts w:hint="eastAsia"/>
          <w:sz w:val="20"/>
          <w:szCs w:val="20"/>
        </w:rPr>
        <w:t>单元还需补充成对点位</w:t>
      </w:r>
      <w:r>
        <w:rPr>
          <w:rFonts w:hint="eastAsia"/>
          <w:sz w:val="20"/>
          <w:szCs w:val="20"/>
        </w:rPr>
        <w:t>26</w:t>
      </w:r>
      <w:r>
        <w:rPr>
          <w:rFonts w:hint="eastAsia"/>
          <w:sz w:val="20"/>
          <w:szCs w:val="20"/>
        </w:rPr>
        <w:t>个</w:t>
      </w:r>
    </w:p>
    <w:p w14:paraId="39B24C1A" w14:textId="77777777" w:rsidR="00B752A8" w:rsidRDefault="00C46237">
      <w:pPr>
        <w:spacing w:line="276" w:lineRule="auto"/>
        <w:ind w:leftChars="200" w:left="720" w:hangingChars="150" w:hanging="300"/>
        <w:rPr>
          <w:sz w:val="20"/>
          <w:szCs w:val="20"/>
        </w:rPr>
      </w:pPr>
      <w:r>
        <w:rPr>
          <w:rFonts w:hint="eastAsia"/>
          <w:sz w:val="20"/>
          <w:szCs w:val="20"/>
        </w:rPr>
        <w:t xml:space="preserve">2. </w:t>
      </w:r>
      <w:r>
        <w:rPr>
          <w:rFonts w:hint="eastAsia"/>
          <w:sz w:val="20"/>
          <w:szCs w:val="20"/>
        </w:rPr>
        <w:t>对于未叠加详查评价单元的调查单元，统一采用安全利用类的布点密度。例如划分为水田的某调查单元，按照</w:t>
      </w:r>
      <w:r>
        <w:rPr>
          <w:rFonts w:hint="eastAsia"/>
          <w:sz w:val="20"/>
          <w:szCs w:val="20"/>
        </w:rPr>
        <w:t>50-150</w:t>
      </w:r>
      <w:r>
        <w:rPr>
          <w:rFonts w:hint="eastAsia"/>
          <w:sz w:val="20"/>
          <w:szCs w:val="20"/>
        </w:rPr>
        <w:t>亩</w:t>
      </w:r>
      <w:r>
        <w:rPr>
          <w:rFonts w:hint="eastAsia"/>
          <w:sz w:val="20"/>
          <w:szCs w:val="20"/>
        </w:rPr>
        <w:t>/</w:t>
      </w:r>
      <w:r>
        <w:rPr>
          <w:rFonts w:hint="eastAsia"/>
          <w:sz w:val="20"/>
          <w:szCs w:val="20"/>
        </w:rPr>
        <w:t>点的密度布点</w:t>
      </w:r>
    </w:p>
    <w:p w14:paraId="081E651B" w14:textId="77777777" w:rsidR="00B752A8" w:rsidRDefault="00C46237">
      <w:pPr>
        <w:spacing w:beforeLines="50" w:before="156"/>
        <w:outlineLvl w:val="2"/>
        <w:rPr>
          <w:rFonts w:ascii="黑体" w:eastAsia="黑体" w:hAnsi="黑体" w:cs="黑体"/>
        </w:rPr>
      </w:pPr>
      <w:r>
        <w:rPr>
          <w:rFonts w:ascii="黑体" w:eastAsia="黑体" w:hAnsi="黑体" w:cs="黑体" w:hint="eastAsia"/>
        </w:rPr>
        <w:t>6.3.2  布点位置</w:t>
      </w:r>
    </w:p>
    <w:p w14:paraId="11196041" w14:textId="77777777" w:rsidR="00B752A8" w:rsidRDefault="00C46237">
      <w:pPr>
        <w:ind w:firstLineChars="200" w:firstLine="420"/>
      </w:pPr>
      <w:r>
        <w:rPr>
          <w:rFonts w:hint="eastAsia"/>
        </w:rPr>
        <w:t>基于</w:t>
      </w:r>
      <w:r>
        <w:t>布点</w:t>
      </w:r>
      <w:r>
        <w:rPr>
          <w:rFonts w:hint="eastAsia"/>
        </w:rPr>
        <w:t>密度</w:t>
      </w:r>
      <w:r>
        <w:t>计算出</w:t>
      </w:r>
      <w:r>
        <w:rPr>
          <w:rFonts w:hint="eastAsia"/>
        </w:rPr>
        <w:t>调查单元成对点位</w:t>
      </w:r>
      <w:r>
        <w:t>数量后，在</w:t>
      </w:r>
      <w:r>
        <w:rPr>
          <w:rFonts w:hint="eastAsia"/>
        </w:rPr>
        <w:t>调查单元</w:t>
      </w:r>
      <w:r>
        <w:t>网格布点。在网格内选择有代表性的食用农产品地块中间的开阔地带进行布点：</w:t>
      </w:r>
    </w:p>
    <w:p w14:paraId="158E4DDF" w14:textId="77777777" w:rsidR="00B752A8" w:rsidRDefault="00C46237">
      <w:pPr>
        <w:ind w:firstLineChars="200" w:firstLine="420"/>
      </w:pPr>
      <w:r>
        <w:t>——</w:t>
      </w:r>
      <w:r>
        <w:t>如果网格内地块间面积差异明显，优先选择面积最大地块；</w:t>
      </w:r>
    </w:p>
    <w:p w14:paraId="0F4E1697" w14:textId="77777777" w:rsidR="00B752A8" w:rsidRDefault="00C46237">
      <w:pPr>
        <w:ind w:firstLineChars="200" w:firstLine="420"/>
      </w:pPr>
      <w:r>
        <w:t>——</w:t>
      </w:r>
      <w:r>
        <w:t>如果网格内地块间面积差异不明显，优先选择网格中心位置地块；</w:t>
      </w:r>
    </w:p>
    <w:p w14:paraId="41C569A2" w14:textId="77777777" w:rsidR="00B752A8" w:rsidRDefault="00C46237">
      <w:pPr>
        <w:ind w:firstLineChars="200" w:firstLine="420"/>
      </w:pPr>
      <w:r>
        <w:t>——</w:t>
      </w:r>
      <w:r>
        <w:t>如果网格内同时存在水田、旱地，优先选择水田；</w:t>
      </w:r>
    </w:p>
    <w:p w14:paraId="4D725054" w14:textId="77777777" w:rsidR="00B752A8" w:rsidRDefault="00C46237">
      <w:pPr>
        <w:ind w:firstLineChars="200" w:firstLine="420"/>
      </w:pPr>
      <w:r>
        <w:t>——</w:t>
      </w:r>
      <w:r>
        <w:t>如果网格内高程差别十分明显（如沟谷、丘陵、梯田等），优先选择地势较低的地块</w:t>
      </w:r>
      <w:r>
        <w:rPr>
          <w:rFonts w:hint="eastAsia"/>
        </w:rPr>
        <w:t>；</w:t>
      </w:r>
    </w:p>
    <w:p w14:paraId="3580969C" w14:textId="77777777" w:rsidR="00B752A8" w:rsidRDefault="00C46237">
      <w:pPr>
        <w:ind w:firstLineChars="200" w:firstLine="420"/>
      </w:pPr>
      <w:r>
        <w:t>——</w:t>
      </w:r>
      <w:r>
        <w:t>当网格中食用农产品产地面积占比小于</w:t>
      </w:r>
      <w:r>
        <w:t>10%</w:t>
      </w:r>
      <w:r>
        <w:t>时，可不布设点位</w:t>
      </w:r>
      <w:r>
        <w:rPr>
          <w:rFonts w:hint="eastAsia"/>
        </w:rPr>
        <w:t>；</w:t>
      </w:r>
    </w:p>
    <w:p w14:paraId="211EAE53" w14:textId="77777777" w:rsidR="00B752A8" w:rsidRDefault="00C46237">
      <w:pPr>
        <w:ind w:firstLineChars="200" w:firstLine="420"/>
      </w:pPr>
      <w:r>
        <w:t>——</w:t>
      </w:r>
      <w:r>
        <w:rPr>
          <w:rFonts w:hint="eastAsia"/>
        </w:rPr>
        <w:t>历史性成对点</w:t>
      </w:r>
      <w:proofErr w:type="gramStart"/>
      <w:r>
        <w:rPr>
          <w:rFonts w:hint="eastAsia"/>
        </w:rPr>
        <w:t>位所在</w:t>
      </w:r>
      <w:proofErr w:type="gramEnd"/>
      <w:r>
        <w:rPr>
          <w:rFonts w:hint="eastAsia"/>
        </w:rPr>
        <w:t>网格，可不布设点位。</w:t>
      </w:r>
    </w:p>
    <w:p w14:paraId="31125CDA" w14:textId="77777777" w:rsidR="00B752A8" w:rsidRDefault="00C46237">
      <w:pPr>
        <w:outlineLvl w:val="2"/>
        <w:rPr>
          <w:rFonts w:ascii="黑体" w:eastAsia="黑体" w:hAnsi="黑体" w:cs="黑体"/>
        </w:rPr>
      </w:pPr>
      <w:r>
        <w:rPr>
          <w:rFonts w:ascii="黑体" w:eastAsia="黑体" w:hAnsi="黑体" w:cs="黑体" w:hint="eastAsia"/>
        </w:rPr>
        <w:t>6.3.3  采样原则</w:t>
      </w:r>
    </w:p>
    <w:p w14:paraId="2880E19A" w14:textId="77777777" w:rsidR="00B752A8" w:rsidRDefault="00C46237">
      <w:pPr>
        <w:pStyle w:val="affffc"/>
        <w:tabs>
          <w:tab w:val="left" w:pos="1260"/>
        </w:tabs>
        <w:ind w:leftChars="0" w:left="420" w:firstLineChars="0" w:firstLine="0"/>
        <w:rPr>
          <w:rFonts w:ascii="Times New Roman"/>
        </w:rPr>
      </w:pPr>
      <w:r>
        <w:rPr>
          <w:rFonts w:ascii="Times New Roman" w:hint="eastAsia"/>
        </w:rPr>
        <w:t>土壤与农产品采样方法按照</w:t>
      </w:r>
      <w:r>
        <w:rPr>
          <w:rFonts w:ascii="Times New Roman" w:hint="eastAsia"/>
        </w:rPr>
        <w:t>NY</w:t>
      </w:r>
      <w:r>
        <w:rPr>
          <w:rFonts w:ascii="Times New Roman"/>
        </w:rPr>
        <w:t>/</w:t>
      </w:r>
      <w:r>
        <w:rPr>
          <w:rFonts w:ascii="Times New Roman" w:hint="eastAsia"/>
        </w:rPr>
        <w:t>T</w:t>
      </w:r>
      <w:r>
        <w:rPr>
          <w:rFonts w:ascii="Times New Roman"/>
        </w:rPr>
        <w:t xml:space="preserve"> 395</w:t>
      </w:r>
      <w:r>
        <w:rPr>
          <w:rFonts w:ascii="Times New Roman" w:hint="eastAsia"/>
        </w:rPr>
        <w:t>与</w:t>
      </w:r>
      <w:r>
        <w:rPr>
          <w:rFonts w:ascii="Times New Roman" w:hint="eastAsia"/>
        </w:rPr>
        <w:t>NY/T</w:t>
      </w:r>
      <w:r>
        <w:rPr>
          <w:rFonts w:ascii="Times New Roman"/>
        </w:rPr>
        <w:t>398</w:t>
      </w:r>
      <w:r>
        <w:rPr>
          <w:rFonts w:ascii="Times New Roman" w:hint="eastAsia"/>
        </w:rPr>
        <w:t>的规定执行。</w:t>
      </w:r>
    </w:p>
    <w:p w14:paraId="735B9294" w14:textId="77777777" w:rsidR="00B752A8" w:rsidRDefault="00C46237">
      <w:pPr>
        <w:pStyle w:val="affffc"/>
        <w:tabs>
          <w:tab w:val="left" w:pos="840"/>
        </w:tabs>
        <w:ind w:leftChars="0" w:left="0" w:firstLineChars="200" w:firstLine="420"/>
      </w:pPr>
      <w:r>
        <w:rPr>
          <w:rFonts w:hint="eastAsia"/>
        </w:rPr>
        <w:t>土壤及农产品的采样遵循以下原则：</w:t>
      </w:r>
    </w:p>
    <w:p w14:paraId="1B133C77" w14:textId="77777777" w:rsidR="00B752A8" w:rsidRDefault="00C46237">
      <w:pPr>
        <w:pStyle w:val="affffc"/>
        <w:tabs>
          <w:tab w:val="left" w:pos="1260"/>
        </w:tabs>
        <w:ind w:leftChars="0" w:left="420" w:firstLineChars="0" w:firstLine="0"/>
        <w:rPr>
          <w:rFonts w:ascii="Times New Roman"/>
        </w:rPr>
      </w:pPr>
      <w:r>
        <w:rPr>
          <w:rFonts w:ascii="Times New Roman"/>
        </w:rPr>
        <w:t>——</w:t>
      </w:r>
      <w:r>
        <w:rPr>
          <w:rFonts w:ascii="Times New Roman"/>
        </w:rPr>
        <w:t>采集土壤与</w:t>
      </w:r>
      <w:r>
        <w:rPr>
          <w:rFonts w:ascii="Times New Roman" w:hint="eastAsia"/>
        </w:rPr>
        <w:t>农产品</w:t>
      </w:r>
      <w:r>
        <w:rPr>
          <w:rFonts w:ascii="Times New Roman"/>
        </w:rPr>
        <w:t>一一对应的样品；</w:t>
      </w:r>
    </w:p>
    <w:p w14:paraId="4C036F15" w14:textId="77777777" w:rsidR="00B752A8" w:rsidRDefault="00C46237">
      <w:pPr>
        <w:pStyle w:val="affffc"/>
        <w:tabs>
          <w:tab w:val="left" w:pos="1260"/>
        </w:tabs>
        <w:ind w:leftChars="0" w:left="420" w:firstLineChars="0" w:firstLine="0"/>
        <w:rPr>
          <w:rFonts w:ascii="Times New Roman"/>
        </w:rPr>
      </w:pPr>
      <w:r>
        <w:rPr>
          <w:rFonts w:ascii="Times New Roman"/>
        </w:rPr>
        <w:t>——</w:t>
      </w:r>
      <w:r>
        <w:rPr>
          <w:rFonts w:ascii="Times New Roman" w:hint="eastAsia"/>
        </w:rPr>
        <w:t>只采集一季农产品。对于多季或轮作、间套作情况，</w:t>
      </w:r>
      <w:r>
        <w:rPr>
          <w:rFonts w:ascii="Times New Roman"/>
        </w:rPr>
        <w:t>尽可能采集重金属富集能力较强</w:t>
      </w:r>
      <w:r>
        <w:rPr>
          <w:rFonts w:ascii="Times New Roman" w:hint="eastAsia"/>
        </w:rPr>
        <w:t>的主栽农产品</w:t>
      </w:r>
      <w:r>
        <w:rPr>
          <w:rFonts w:ascii="Times New Roman"/>
        </w:rPr>
        <w:t>。若单季情况，采集本季度典型</w:t>
      </w:r>
      <w:r>
        <w:rPr>
          <w:rFonts w:ascii="Times New Roman" w:hint="eastAsia"/>
        </w:rPr>
        <w:t>农产品</w:t>
      </w:r>
      <w:r>
        <w:rPr>
          <w:rFonts w:ascii="Times New Roman"/>
        </w:rPr>
        <w:t>即可。</w:t>
      </w:r>
    </w:p>
    <w:p w14:paraId="3AC947E7" w14:textId="77777777" w:rsidR="00B752A8" w:rsidRDefault="00C46237">
      <w:pPr>
        <w:spacing w:line="240" w:lineRule="auto"/>
        <w:jc w:val="left"/>
        <w:rPr>
          <w:kern w:val="0"/>
          <w:szCs w:val="20"/>
        </w:rPr>
      </w:pPr>
      <w:r>
        <w:br w:type="page"/>
      </w:r>
    </w:p>
    <w:p w14:paraId="56D84980" w14:textId="77777777" w:rsidR="00B752A8" w:rsidRDefault="00C46237">
      <w:pPr>
        <w:outlineLvl w:val="2"/>
        <w:rPr>
          <w:rFonts w:ascii="黑体" w:eastAsia="黑体" w:hAnsi="黑体" w:cs="黑体"/>
        </w:rPr>
      </w:pPr>
      <w:r>
        <w:rPr>
          <w:rFonts w:ascii="黑体" w:eastAsia="黑体" w:hAnsi="黑体" w:cs="黑体" w:hint="eastAsia"/>
        </w:rPr>
        <w:lastRenderedPageBreak/>
        <w:t>6.3.4  样品检测</w:t>
      </w:r>
    </w:p>
    <w:p w14:paraId="42889282" w14:textId="1D27D76A" w:rsidR="00B752A8" w:rsidRDefault="00C46237">
      <w:pPr>
        <w:pStyle w:val="affffc"/>
        <w:tabs>
          <w:tab w:val="left" w:pos="840"/>
        </w:tabs>
        <w:ind w:leftChars="0" w:left="0" w:firstLineChars="200" w:firstLine="420"/>
        <w:rPr>
          <w:rFonts w:ascii="Times New Roman"/>
        </w:rPr>
      </w:pPr>
      <w:r>
        <w:rPr>
          <w:rFonts w:ascii="Times New Roman"/>
        </w:rPr>
        <w:t>包括土壤基本理化性质（土壤</w:t>
      </w:r>
      <w:r>
        <w:rPr>
          <w:rFonts w:ascii="Times New Roman"/>
        </w:rPr>
        <w:t>pH</w:t>
      </w:r>
      <w:r>
        <w:rPr>
          <w:rFonts w:ascii="Times New Roman"/>
        </w:rPr>
        <w:t>、阳离子交换量和有机质含量等）和土壤与农产品样品的重金属含量（镉、汞、砷、铅、铬等）。参考</w:t>
      </w:r>
      <w:r w:rsidR="00EA6A73">
        <w:rPr>
          <w:rFonts w:ascii="Times New Roman" w:hint="eastAsia"/>
        </w:rPr>
        <w:t>表</w:t>
      </w:r>
      <w:r w:rsidR="00EA6A73">
        <w:rPr>
          <w:rFonts w:ascii="Times New Roman" w:hint="eastAsia"/>
        </w:rPr>
        <w:t>2</w:t>
      </w:r>
      <w:r>
        <w:rPr>
          <w:rFonts w:ascii="Times New Roman"/>
        </w:rPr>
        <w:t>规定的方法开展土壤重金属分析，</w:t>
      </w:r>
      <w:r>
        <w:rPr>
          <w:rFonts w:ascii="Times New Roman" w:hint="eastAsia"/>
        </w:rPr>
        <w:t>参照</w:t>
      </w:r>
      <w:r>
        <w:rPr>
          <w:rFonts w:ascii="Times New Roman" w:hint="eastAsia"/>
        </w:rPr>
        <w:t>GB/T 5009</w:t>
      </w:r>
      <w:r>
        <w:rPr>
          <w:rFonts w:ascii="Times New Roman" w:hint="eastAsia"/>
        </w:rPr>
        <w:t>系列标准（</w:t>
      </w:r>
      <w:r>
        <w:rPr>
          <w:rFonts w:ascii="Times New Roman" w:hint="eastAsia"/>
        </w:rPr>
        <w:t>GB 5009.12</w:t>
      </w:r>
      <w:r>
        <w:rPr>
          <w:rFonts w:ascii="Times New Roman" w:hint="eastAsia"/>
        </w:rPr>
        <w:t>、</w:t>
      </w:r>
      <w:r>
        <w:rPr>
          <w:rFonts w:ascii="Times New Roman" w:hint="eastAsia"/>
        </w:rPr>
        <w:t>GB 5009.15</w:t>
      </w:r>
      <w:r>
        <w:rPr>
          <w:rFonts w:ascii="Times New Roman" w:hint="eastAsia"/>
        </w:rPr>
        <w:t>、</w:t>
      </w:r>
      <w:r>
        <w:rPr>
          <w:rFonts w:ascii="Times New Roman" w:hint="eastAsia"/>
        </w:rPr>
        <w:t>GB/T 5009.17</w:t>
      </w:r>
      <w:r>
        <w:rPr>
          <w:rFonts w:ascii="Times New Roman" w:hint="eastAsia"/>
        </w:rPr>
        <w:t>、</w:t>
      </w:r>
      <w:r>
        <w:rPr>
          <w:rFonts w:ascii="Times New Roman" w:hint="eastAsia"/>
        </w:rPr>
        <w:t>GB/T 5009.11</w:t>
      </w:r>
      <w:r>
        <w:rPr>
          <w:rFonts w:ascii="Times New Roman" w:hint="eastAsia"/>
        </w:rPr>
        <w:t>、</w:t>
      </w:r>
      <w:r>
        <w:rPr>
          <w:rFonts w:ascii="Times New Roman" w:hint="eastAsia"/>
        </w:rPr>
        <w:t>GB/T 5009.123</w:t>
      </w:r>
      <w:r>
        <w:rPr>
          <w:rFonts w:ascii="Times New Roman" w:hint="eastAsia"/>
        </w:rPr>
        <w:t>），分别测定农产品中总铅、总镉、总汞、总砷</w:t>
      </w:r>
      <w:proofErr w:type="gramStart"/>
      <w:r>
        <w:rPr>
          <w:rFonts w:ascii="Times New Roman" w:hint="eastAsia"/>
        </w:rPr>
        <w:t>和总铬含量</w:t>
      </w:r>
      <w:proofErr w:type="gramEnd"/>
      <w:r>
        <w:rPr>
          <w:rFonts w:ascii="Times New Roman" w:hint="eastAsia"/>
        </w:rPr>
        <w:t>。</w:t>
      </w:r>
    </w:p>
    <w:p w14:paraId="0C696B5B" w14:textId="77777777" w:rsidR="00B752A8" w:rsidRDefault="00C46237" w:rsidP="004B176C">
      <w:pPr>
        <w:spacing w:beforeLines="50" w:before="156"/>
        <w:jc w:val="center"/>
        <w:rPr>
          <w:rFonts w:ascii="黑体" w:eastAsia="黑体" w:hAnsi="黑体" w:cs="黑体"/>
          <w:color w:val="333333"/>
          <w:szCs w:val="21"/>
        </w:rPr>
      </w:pPr>
      <w:r>
        <w:rPr>
          <w:rFonts w:ascii="黑体" w:eastAsia="黑体" w:hAnsi="黑体" w:cs="黑体" w:hint="eastAsia"/>
          <w:color w:val="333333"/>
          <w:szCs w:val="21"/>
        </w:rPr>
        <w:t>表2</w:t>
      </w:r>
      <w:r>
        <w:rPr>
          <w:rFonts w:ascii="黑体" w:eastAsia="黑体" w:hAnsi="黑体" w:cs="黑体"/>
          <w:color w:val="333333"/>
          <w:szCs w:val="21"/>
        </w:rPr>
        <w:t xml:space="preserve"> </w:t>
      </w:r>
      <w:r>
        <w:rPr>
          <w:rFonts w:ascii="黑体" w:eastAsia="黑体" w:hAnsi="黑体" w:cs="黑体" w:hint="eastAsia"/>
          <w:color w:val="333333"/>
          <w:szCs w:val="21"/>
        </w:rPr>
        <w:t>土壤污染物分析方法</w:t>
      </w:r>
    </w:p>
    <w:tbl>
      <w:tblPr>
        <w:tblStyle w:val="af0"/>
        <w:tblW w:w="0" w:type="auto"/>
        <w:tblLook w:val="04A0" w:firstRow="1" w:lastRow="0" w:firstColumn="1" w:lastColumn="0" w:noHBand="0" w:noVBand="1"/>
      </w:tblPr>
      <w:tblGrid>
        <w:gridCol w:w="675"/>
        <w:gridCol w:w="987"/>
        <w:gridCol w:w="5534"/>
        <w:gridCol w:w="1326"/>
      </w:tblGrid>
      <w:tr w:rsidR="00B752A8" w14:paraId="0CCA5067" w14:textId="77777777">
        <w:tc>
          <w:tcPr>
            <w:tcW w:w="675" w:type="dxa"/>
            <w:vAlign w:val="center"/>
          </w:tcPr>
          <w:p w14:paraId="43484BA3" w14:textId="77777777" w:rsidR="00B752A8" w:rsidRDefault="00C46237">
            <w:pPr>
              <w:pStyle w:val="affffc"/>
              <w:tabs>
                <w:tab w:val="left" w:pos="840"/>
              </w:tabs>
              <w:ind w:leftChars="0" w:left="0" w:firstLineChars="0" w:firstLine="0"/>
              <w:jc w:val="center"/>
              <w:rPr>
                <w:rFonts w:ascii="Times New Roman"/>
                <w:b/>
                <w:bCs/>
                <w:sz w:val="20"/>
              </w:rPr>
            </w:pPr>
            <w:r>
              <w:rPr>
                <w:rFonts w:ascii="Times New Roman" w:hint="eastAsia"/>
                <w:b/>
                <w:bCs/>
                <w:sz w:val="20"/>
              </w:rPr>
              <w:t>序号</w:t>
            </w:r>
          </w:p>
        </w:tc>
        <w:tc>
          <w:tcPr>
            <w:tcW w:w="987" w:type="dxa"/>
            <w:vAlign w:val="center"/>
          </w:tcPr>
          <w:p w14:paraId="478A944A" w14:textId="77777777" w:rsidR="00B752A8" w:rsidRDefault="00C46237">
            <w:pPr>
              <w:pStyle w:val="affffc"/>
              <w:tabs>
                <w:tab w:val="left" w:pos="840"/>
              </w:tabs>
              <w:ind w:leftChars="0" w:left="0" w:firstLineChars="0" w:firstLine="0"/>
              <w:jc w:val="center"/>
              <w:rPr>
                <w:rFonts w:ascii="Times New Roman"/>
                <w:b/>
                <w:bCs/>
                <w:sz w:val="20"/>
              </w:rPr>
            </w:pPr>
            <w:r>
              <w:rPr>
                <w:rFonts w:ascii="Times New Roman" w:hint="eastAsia"/>
                <w:b/>
                <w:bCs/>
                <w:sz w:val="20"/>
              </w:rPr>
              <w:t>项目</w:t>
            </w:r>
          </w:p>
        </w:tc>
        <w:tc>
          <w:tcPr>
            <w:tcW w:w="5534" w:type="dxa"/>
            <w:vAlign w:val="center"/>
          </w:tcPr>
          <w:p w14:paraId="2A67C030" w14:textId="77777777" w:rsidR="00B752A8" w:rsidRDefault="00C46237">
            <w:pPr>
              <w:pStyle w:val="affffc"/>
              <w:tabs>
                <w:tab w:val="left" w:pos="840"/>
              </w:tabs>
              <w:ind w:leftChars="0" w:left="0" w:firstLineChars="0" w:firstLine="0"/>
              <w:jc w:val="center"/>
              <w:rPr>
                <w:rFonts w:ascii="Times New Roman"/>
                <w:b/>
                <w:bCs/>
                <w:sz w:val="20"/>
              </w:rPr>
            </w:pPr>
            <w:r>
              <w:rPr>
                <w:rFonts w:ascii="Times New Roman" w:hint="eastAsia"/>
                <w:b/>
                <w:bCs/>
                <w:sz w:val="20"/>
              </w:rPr>
              <w:t>分析方法</w:t>
            </w:r>
          </w:p>
        </w:tc>
        <w:tc>
          <w:tcPr>
            <w:tcW w:w="1326" w:type="dxa"/>
            <w:vAlign w:val="center"/>
          </w:tcPr>
          <w:p w14:paraId="6944BB17" w14:textId="77777777" w:rsidR="00B752A8" w:rsidRDefault="00C46237">
            <w:pPr>
              <w:pStyle w:val="affffc"/>
              <w:tabs>
                <w:tab w:val="left" w:pos="840"/>
              </w:tabs>
              <w:ind w:leftChars="0" w:left="0" w:firstLineChars="0" w:firstLine="0"/>
              <w:jc w:val="center"/>
              <w:rPr>
                <w:rFonts w:ascii="Times New Roman"/>
                <w:b/>
                <w:bCs/>
                <w:sz w:val="20"/>
              </w:rPr>
            </w:pPr>
            <w:r>
              <w:rPr>
                <w:rFonts w:ascii="Times New Roman" w:hint="eastAsia"/>
                <w:b/>
                <w:bCs/>
                <w:sz w:val="20"/>
              </w:rPr>
              <w:t>标准编号</w:t>
            </w:r>
          </w:p>
        </w:tc>
      </w:tr>
      <w:tr w:rsidR="00B752A8" w14:paraId="2F1570D1" w14:textId="77777777">
        <w:tc>
          <w:tcPr>
            <w:tcW w:w="675" w:type="dxa"/>
            <w:vAlign w:val="center"/>
          </w:tcPr>
          <w:p w14:paraId="487B3A3D"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1</w:t>
            </w:r>
          </w:p>
        </w:tc>
        <w:tc>
          <w:tcPr>
            <w:tcW w:w="987" w:type="dxa"/>
            <w:vAlign w:val="center"/>
          </w:tcPr>
          <w:p w14:paraId="3A760031"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镉</w:t>
            </w:r>
          </w:p>
        </w:tc>
        <w:tc>
          <w:tcPr>
            <w:tcW w:w="5534" w:type="dxa"/>
            <w:vAlign w:val="center"/>
          </w:tcPr>
          <w:p w14:paraId="5BF21CF5"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土壤质量</w:t>
            </w:r>
            <w:r>
              <w:rPr>
                <w:rFonts w:ascii="Times New Roman" w:hint="eastAsia"/>
                <w:sz w:val="20"/>
              </w:rPr>
              <w:t xml:space="preserve"> </w:t>
            </w:r>
            <w:r>
              <w:rPr>
                <w:rFonts w:ascii="Times New Roman" w:hint="eastAsia"/>
                <w:sz w:val="20"/>
              </w:rPr>
              <w:t>铅、镉的测定</w:t>
            </w:r>
            <w:r>
              <w:rPr>
                <w:rFonts w:ascii="Times New Roman" w:hint="eastAsia"/>
                <w:sz w:val="20"/>
              </w:rPr>
              <w:t xml:space="preserve"> </w:t>
            </w:r>
            <w:r>
              <w:rPr>
                <w:rFonts w:ascii="Times New Roman" w:hint="eastAsia"/>
                <w:sz w:val="20"/>
              </w:rPr>
              <w:t>石墨炉原子吸收分光光度法</w:t>
            </w:r>
          </w:p>
        </w:tc>
        <w:tc>
          <w:tcPr>
            <w:tcW w:w="1326" w:type="dxa"/>
            <w:vAlign w:val="center"/>
          </w:tcPr>
          <w:p w14:paraId="724DD5F1"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G</w:t>
            </w:r>
            <w:r>
              <w:rPr>
                <w:rFonts w:ascii="Times New Roman"/>
                <w:sz w:val="20"/>
              </w:rPr>
              <w:t>B/T 17141</w:t>
            </w:r>
          </w:p>
        </w:tc>
      </w:tr>
      <w:tr w:rsidR="00B752A8" w14:paraId="51DA4473" w14:textId="77777777">
        <w:tc>
          <w:tcPr>
            <w:tcW w:w="675" w:type="dxa"/>
            <w:vMerge w:val="restart"/>
            <w:vAlign w:val="center"/>
          </w:tcPr>
          <w:p w14:paraId="6495DBEA"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2</w:t>
            </w:r>
          </w:p>
        </w:tc>
        <w:tc>
          <w:tcPr>
            <w:tcW w:w="987" w:type="dxa"/>
            <w:vMerge w:val="restart"/>
            <w:vAlign w:val="center"/>
          </w:tcPr>
          <w:p w14:paraId="64227F9D"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汞</w:t>
            </w:r>
          </w:p>
        </w:tc>
        <w:tc>
          <w:tcPr>
            <w:tcW w:w="5534" w:type="dxa"/>
            <w:vAlign w:val="center"/>
          </w:tcPr>
          <w:p w14:paraId="1A86A18C"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土壤和沉积物</w:t>
            </w:r>
            <w:r>
              <w:rPr>
                <w:rFonts w:ascii="Times New Roman" w:hint="eastAsia"/>
                <w:sz w:val="20"/>
              </w:rPr>
              <w:t xml:space="preserve"> </w:t>
            </w:r>
            <w:r>
              <w:rPr>
                <w:rFonts w:ascii="Times New Roman" w:hint="eastAsia"/>
                <w:sz w:val="20"/>
              </w:rPr>
              <w:t>汞、砷、硒、铋、锑的测定</w:t>
            </w:r>
            <w:r>
              <w:rPr>
                <w:rFonts w:ascii="Times New Roman" w:hint="eastAsia"/>
                <w:sz w:val="20"/>
              </w:rPr>
              <w:t xml:space="preserve"> </w:t>
            </w:r>
            <w:r>
              <w:rPr>
                <w:rFonts w:ascii="Times New Roman" w:hint="eastAsia"/>
                <w:sz w:val="20"/>
              </w:rPr>
              <w:t>微波消解</w:t>
            </w:r>
            <w:r>
              <w:rPr>
                <w:rFonts w:ascii="Times New Roman" w:hint="eastAsia"/>
                <w:sz w:val="20"/>
              </w:rPr>
              <w:t>/</w:t>
            </w:r>
            <w:r>
              <w:rPr>
                <w:rFonts w:ascii="Times New Roman" w:hint="eastAsia"/>
                <w:sz w:val="20"/>
              </w:rPr>
              <w:t>原子荧光法</w:t>
            </w:r>
          </w:p>
        </w:tc>
        <w:tc>
          <w:tcPr>
            <w:tcW w:w="1326" w:type="dxa"/>
            <w:vAlign w:val="center"/>
          </w:tcPr>
          <w:p w14:paraId="39F046D6"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H</w:t>
            </w:r>
            <w:r>
              <w:rPr>
                <w:rFonts w:ascii="Times New Roman"/>
                <w:sz w:val="20"/>
              </w:rPr>
              <w:t>J 680</w:t>
            </w:r>
          </w:p>
        </w:tc>
      </w:tr>
      <w:tr w:rsidR="00B752A8" w14:paraId="75EA9C54" w14:textId="77777777">
        <w:tc>
          <w:tcPr>
            <w:tcW w:w="675" w:type="dxa"/>
            <w:vMerge/>
            <w:vAlign w:val="center"/>
          </w:tcPr>
          <w:p w14:paraId="3D80DF45" w14:textId="77777777" w:rsidR="00B752A8" w:rsidRDefault="00B752A8">
            <w:pPr>
              <w:pStyle w:val="affffc"/>
              <w:tabs>
                <w:tab w:val="left" w:pos="840"/>
              </w:tabs>
              <w:ind w:leftChars="0" w:left="0" w:firstLineChars="0" w:firstLine="0"/>
              <w:jc w:val="center"/>
              <w:rPr>
                <w:rFonts w:ascii="Times New Roman"/>
                <w:sz w:val="20"/>
              </w:rPr>
            </w:pPr>
          </w:p>
        </w:tc>
        <w:tc>
          <w:tcPr>
            <w:tcW w:w="987" w:type="dxa"/>
            <w:vMerge/>
            <w:vAlign w:val="center"/>
          </w:tcPr>
          <w:p w14:paraId="14023EB3" w14:textId="77777777" w:rsidR="00B752A8" w:rsidRDefault="00B752A8">
            <w:pPr>
              <w:pStyle w:val="affffc"/>
              <w:tabs>
                <w:tab w:val="left" w:pos="840"/>
              </w:tabs>
              <w:ind w:leftChars="0" w:left="0" w:firstLineChars="0" w:firstLine="0"/>
              <w:jc w:val="center"/>
              <w:rPr>
                <w:rFonts w:ascii="Times New Roman"/>
                <w:sz w:val="20"/>
              </w:rPr>
            </w:pPr>
          </w:p>
        </w:tc>
        <w:tc>
          <w:tcPr>
            <w:tcW w:w="5534" w:type="dxa"/>
            <w:vAlign w:val="center"/>
          </w:tcPr>
          <w:p w14:paraId="352C0A55"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土壤质量</w:t>
            </w:r>
            <w:r>
              <w:rPr>
                <w:rFonts w:ascii="Times New Roman" w:hint="eastAsia"/>
                <w:sz w:val="20"/>
              </w:rPr>
              <w:t xml:space="preserve"> </w:t>
            </w:r>
            <w:r>
              <w:rPr>
                <w:rFonts w:ascii="Times New Roman" w:hint="eastAsia"/>
                <w:sz w:val="20"/>
              </w:rPr>
              <w:t>总汞、总砷、</w:t>
            </w:r>
            <w:proofErr w:type="gramStart"/>
            <w:r>
              <w:rPr>
                <w:rFonts w:ascii="Times New Roman" w:hint="eastAsia"/>
                <w:sz w:val="20"/>
              </w:rPr>
              <w:t>总铅的</w:t>
            </w:r>
            <w:proofErr w:type="gramEnd"/>
            <w:r>
              <w:rPr>
                <w:rFonts w:ascii="Times New Roman" w:hint="eastAsia"/>
                <w:sz w:val="20"/>
              </w:rPr>
              <w:t>测定</w:t>
            </w:r>
            <w:r>
              <w:rPr>
                <w:rFonts w:ascii="Times New Roman" w:hint="eastAsia"/>
                <w:sz w:val="20"/>
              </w:rPr>
              <w:t xml:space="preserve"> </w:t>
            </w:r>
            <w:r>
              <w:rPr>
                <w:rFonts w:ascii="Times New Roman" w:hint="eastAsia"/>
                <w:sz w:val="20"/>
              </w:rPr>
              <w:t>原子荧光法</w:t>
            </w:r>
            <w:r>
              <w:rPr>
                <w:rFonts w:ascii="Times New Roman" w:hint="eastAsia"/>
                <w:sz w:val="20"/>
              </w:rPr>
              <w:t xml:space="preserve"> </w:t>
            </w:r>
            <w:r>
              <w:rPr>
                <w:rFonts w:ascii="Times New Roman" w:hint="eastAsia"/>
                <w:sz w:val="20"/>
              </w:rPr>
              <w:t>第</w:t>
            </w:r>
            <w:r>
              <w:rPr>
                <w:rFonts w:ascii="Times New Roman" w:hint="eastAsia"/>
                <w:sz w:val="20"/>
              </w:rPr>
              <w:t>1</w:t>
            </w:r>
            <w:r>
              <w:rPr>
                <w:rFonts w:ascii="Times New Roman" w:hint="eastAsia"/>
                <w:sz w:val="20"/>
              </w:rPr>
              <w:t>部分：土壤中总汞的测定</w:t>
            </w:r>
          </w:p>
        </w:tc>
        <w:tc>
          <w:tcPr>
            <w:tcW w:w="1326" w:type="dxa"/>
            <w:vAlign w:val="center"/>
          </w:tcPr>
          <w:p w14:paraId="75952648"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G</w:t>
            </w:r>
            <w:r>
              <w:rPr>
                <w:rFonts w:ascii="Times New Roman"/>
                <w:sz w:val="20"/>
              </w:rPr>
              <w:t>B/T 22105.1</w:t>
            </w:r>
          </w:p>
        </w:tc>
      </w:tr>
      <w:tr w:rsidR="00B752A8" w14:paraId="3A6EBC7F" w14:textId="77777777">
        <w:tc>
          <w:tcPr>
            <w:tcW w:w="675" w:type="dxa"/>
            <w:vMerge/>
            <w:vAlign w:val="center"/>
          </w:tcPr>
          <w:p w14:paraId="447C2C3D" w14:textId="77777777" w:rsidR="00B752A8" w:rsidRDefault="00B752A8">
            <w:pPr>
              <w:pStyle w:val="affffc"/>
              <w:tabs>
                <w:tab w:val="left" w:pos="840"/>
              </w:tabs>
              <w:ind w:leftChars="0" w:left="0" w:firstLineChars="0" w:firstLine="0"/>
              <w:jc w:val="center"/>
              <w:rPr>
                <w:rFonts w:ascii="Times New Roman"/>
                <w:sz w:val="20"/>
              </w:rPr>
            </w:pPr>
          </w:p>
        </w:tc>
        <w:tc>
          <w:tcPr>
            <w:tcW w:w="987" w:type="dxa"/>
            <w:vMerge/>
            <w:vAlign w:val="center"/>
          </w:tcPr>
          <w:p w14:paraId="6ABA0563" w14:textId="77777777" w:rsidR="00B752A8" w:rsidRDefault="00B752A8">
            <w:pPr>
              <w:pStyle w:val="affffc"/>
              <w:tabs>
                <w:tab w:val="left" w:pos="840"/>
              </w:tabs>
              <w:ind w:leftChars="0" w:left="0" w:firstLineChars="0" w:firstLine="0"/>
              <w:jc w:val="center"/>
              <w:rPr>
                <w:rFonts w:ascii="Times New Roman"/>
                <w:sz w:val="20"/>
              </w:rPr>
            </w:pPr>
          </w:p>
        </w:tc>
        <w:tc>
          <w:tcPr>
            <w:tcW w:w="5534" w:type="dxa"/>
            <w:vAlign w:val="center"/>
          </w:tcPr>
          <w:p w14:paraId="7D6D9003"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土壤质量</w:t>
            </w:r>
            <w:r>
              <w:rPr>
                <w:rFonts w:ascii="Times New Roman" w:hint="eastAsia"/>
                <w:sz w:val="20"/>
              </w:rPr>
              <w:t xml:space="preserve"> </w:t>
            </w:r>
            <w:r>
              <w:rPr>
                <w:rFonts w:ascii="Times New Roman" w:hint="eastAsia"/>
                <w:sz w:val="20"/>
              </w:rPr>
              <w:t>总汞的测定</w:t>
            </w:r>
            <w:r>
              <w:rPr>
                <w:rFonts w:ascii="Times New Roman" w:hint="eastAsia"/>
                <w:sz w:val="20"/>
              </w:rPr>
              <w:t xml:space="preserve"> </w:t>
            </w:r>
            <w:r>
              <w:rPr>
                <w:rFonts w:ascii="Times New Roman" w:hint="eastAsia"/>
                <w:sz w:val="20"/>
              </w:rPr>
              <w:t>冷原子吸收分光光度法</w:t>
            </w:r>
          </w:p>
        </w:tc>
        <w:tc>
          <w:tcPr>
            <w:tcW w:w="1326" w:type="dxa"/>
            <w:vAlign w:val="center"/>
          </w:tcPr>
          <w:p w14:paraId="6F3AB641"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G</w:t>
            </w:r>
            <w:r>
              <w:rPr>
                <w:rFonts w:ascii="Times New Roman"/>
                <w:sz w:val="20"/>
              </w:rPr>
              <w:t>B/T 17136</w:t>
            </w:r>
          </w:p>
        </w:tc>
      </w:tr>
      <w:tr w:rsidR="00B752A8" w14:paraId="282089F9" w14:textId="77777777">
        <w:tc>
          <w:tcPr>
            <w:tcW w:w="675" w:type="dxa"/>
            <w:vMerge/>
            <w:vAlign w:val="center"/>
          </w:tcPr>
          <w:p w14:paraId="454228BB" w14:textId="77777777" w:rsidR="00B752A8" w:rsidRDefault="00B752A8">
            <w:pPr>
              <w:pStyle w:val="affffc"/>
              <w:tabs>
                <w:tab w:val="left" w:pos="840"/>
              </w:tabs>
              <w:ind w:leftChars="0" w:left="0" w:firstLineChars="0" w:firstLine="0"/>
              <w:jc w:val="center"/>
              <w:rPr>
                <w:rFonts w:ascii="Times New Roman"/>
                <w:sz w:val="20"/>
              </w:rPr>
            </w:pPr>
          </w:p>
        </w:tc>
        <w:tc>
          <w:tcPr>
            <w:tcW w:w="987" w:type="dxa"/>
            <w:vMerge/>
            <w:vAlign w:val="center"/>
          </w:tcPr>
          <w:p w14:paraId="16216A8C" w14:textId="77777777" w:rsidR="00B752A8" w:rsidRDefault="00B752A8">
            <w:pPr>
              <w:pStyle w:val="affffc"/>
              <w:tabs>
                <w:tab w:val="left" w:pos="840"/>
              </w:tabs>
              <w:ind w:leftChars="0" w:left="0" w:firstLineChars="0" w:firstLine="0"/>
              <w:jc w:val="center"/>
              <w:rPr>
                <w:rFonts w:ascii="Times New Roman"/>
                <w:sz w:val="20"/>
              </w:rPr>
            </w:pPr>
          </w:p>
        </w:tc>
        <w:tc>
          <w:tcPr>
            <w:tcW w:w="5534" w:type="dxa"/>
            <w:vAlign w:val="center"/>
          </w:tcPr>
          <w:p w14:paraId="1B0143D2"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土壤和沉积物</w:t>
            </w:r>
            <w:r>
              <w:rPr>
                <w:rFonts w:ascii="Times New Roman" w:hint="eastAsia"/>
                <w:sz w:val="20"/>
              </w:rPr>
              <w:t xml:space="preserve"> </w:t>
            </w:r>
            <w:r>
              <w:rPr>
                <w:rFonts w:ascii="Times New Roman" w:hint="eastAsia"/>
                <w:sz w:val="20"/>
              </w:rPr>
              <w:t>总汞的测定</w:t>
            </w:r>
            <w:r>
              <w:rPr>
                <w:rFonts w:ascii="Times New Roman" w:hint="eastAsia"/>
                <w:sz w:val="20"/>
              </w:rPr>
              <w:t xml:space="preserve"> </w:t>
            </w:r>
            <w:r>
              <w:rPr>
                <w:rFonts w:ascii="Times New Roman" w:hint="eastAsia"/>
                <w:sz w:val="20"/>
              </w:rPr>
              <w:t>催化热解</w:t>
            </w:r>
            <w:r>
              <w:rPr>
                <w:rFonts w:ascii="Times New Roman" w:hint="eastAsia"/>
                <w:sz w:val="20"/>
              </w:rPr>
              <w:t>-</w:t>
            </w:r>
            <w:r>
              <w:rPr>
                <w:rFonts w:ascii="Times New Roman" w:hint="eastAsia"/>
                <w:sz w:val="20"/>
              </w:rPr>
              <w:t>冷原子吸收分光光度法</w:t>
            </w:r>
          </w:p>
        </w:tc>
        <w:tc>
          <w:tcPr>
            <w:tcW w:w="1326" w:type="dxa"/>
            <w:vAlign w:val="center"/>
          </w:tcPr>
          <w:p w14:paraId="1A93834B"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H</w:t>
            </w:r>
            <w:r>
              <w:rPr>
                <w:rFonts w:ascii="Times New Roman"/>
                <w:sz w:val="20"/>
              </w:rPr>
              <w:t>J 923</w:t>
            </w:r>
          </w:p>
        </w:tc>
      </w:tr>
      <w:tr w:rsidR="00B752A8" w14:paraId="1BDF4E8B" w14:textId="77777777">
        <w:tc>
          <w:tcPr>
            <w:tcW w:w="675" w:type="dxa"/>
            <w:vMerge w:val="restart"/>
            <w:vAlign w:val="center"/>
          </w:tcPr>
          <w:p w14:paraId="0359D201"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3</w:t>
            </w:r>
          </w:p>
        </w:tc>
        <w:tc>
          <w:tcPr>
            <w:tcW w:w="987" w:type="dxa"/>
            <w:vMerge w:val="restart"/>
            <w:vAlign w:val="center"/>
          </w:tcPr>
          <w:p w14:paraId="27DA1AD9"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砷</w:t>
            </w:r>
          </w:p>
        </w:tc>
        <w:tc>
          <w:tcPr>
            <w:tcW w:w="5534" w:type="dxa"/>
            <w:vAlign w:val="center"/>
          </w:tcPr>
          <w:p w14:paraId="7544D04B"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土壤和沉积物</w:t>
            </w:r>
            <w:r>
              <w:rPr>
                <w:rFonts w:ascii="Times New Roman" w:hint="eastAsia"/>
                <w:sz w:val="20"/>
              </w:rPr>
              <w:t xml:space="preserve"> 12</w:t>
            </w:r>
            <w:r>
              <w:rPr>
                <w:rFonts w:ascii="Times New Roman" w:hint="eastAsia"/>
                <w:sz w:val="20"/>
              </w:rPr>
              <w:t>种金属元素的测定</w:t>
            </w:r>
            <w:r>
              <w:rPr>
                <w:rFonts w:ascii="Times New Roman" w:hint="eastAsia"/>
                <w:sz w:val="20"/>
              </w:rPr>
              <w:t xml:space="preserve"> </w:t>
            </w:r>
            <w:r>
              <w:rPr>
                <w:rFonts w:ascii="Times New Roman" w:hint="eastAsia"/>
                <w:sz w:val="20"/>
              </w:rPr>
              <w:t>王水提取</w:t>
            </w:r>
            <w:r>
              <w:rPr>
                <w:rFonts w:ascii="Times New Roman" w:hint="eastAsia"/>
                <w:sz w:val="20"/>
              </w:rPr>
              <w:t>-</w:t>
            </w:r>
            <w:r>
              <w:rPr>
                <w:rFonts w:ascii="Times New Roman" w:hint="eastAsia"/>
                <w:sz w:val="20"/>
              </w:rPr>
              <w:t>电感耦合等离子体质谱法</w:t>
            </w:r>
          </w:p>
        </w:tc>
        <w:tc>
          <w:tcPr>
            <w:tcW w:w="1326" w:type="dxa"/>
            <w:vAlign w:val="center"/>
          </w:tcPr>
          <w:p w14:paraId="6BF7C8CD"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H</w:t>
            </w:r>
            <w:r>
              <w:rPr>
                <w:rFonts w:ascii="Times New Roman"/>
                <w:sz w:val="20"/>
              </w:rPr>
              <w:t>J 803</w:t>
            </w:r>
          </w:p>
        </w:tc>
      </w:tr>
      <w:tr w:rsidR="00B752A8" w14:paraId="6EB31953" w14:textId="77777777">
        <w:tc>
          <w:tcPr>
            <w:tcW w:w="675" w:type="dxa"/>
            <w:vMerge/>
            <w:vAlign w:val="center"/>
          </w:tcPr>
          <w:p w14:paraId="60D4FDE4" w14:textId="77777777" w:rsidR="00B752A8" w:rsidRDefault="00B752A8">
            <w:pPr>
              <w:pStyle w:val="affffc"/>
              <w:tabs>
                <w:tab w:val="left" w:pos="840"/>
              </w:tabs>
              <w:ind w:leftChars="0" w:left="0" w:firstLineChars="0" w:firstLine="0"/>
              <w:jc w:val="center"/>
              <w:rPr>
                <w:rFonts w:ascii="Times New Roman"/>
                <w:sz w:val="20"/>
              </w:rPr>
            </w:pPr>
          </w:p>
        </w:tc>
        <w:tc>
          <w:tcPr>
            <w:tcW w:w="987" w:type="dxa"/>
            <w:vMerge/>
            <w:vAlign w:val="center"/>
          </w:tcPr>
          <w:p w14:paraId="661CF409" w14:textId="77777777" w:rsidR="00B752A8" w:rsidRDefault="00B752A8">
            <w:pPr>
              <w:pStyle w:val="affffc"/>
              <w:tabs>
                <w:tab w:val="left" w:pos="840"/>
              </w:tabs>
              <w:ind w:leftChars="0" w:left="0" w:firstLineChars="0" w:firstLine="0"/>
              <w:jc w:val="center"/>
              <w:rPr>
                <w:rFonts w:ascii="Times New Roman"/>
                <w:sz w:val="20"/>
              </w:rPr>
            </w:pPr>
          </w:p>
        </w:tc>
        <w:tc>
          <w:tcPr>
            <w:tcW w:w="5534" w:type="dxa"/>
            <w:vAlign w:val="center"/>
          </w:tcPr>
          <w:p w14:paraId="7FCADFCC"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土壤和沉积物</w:t>
            </w:r>
            <w:r>
              <w:rPr>
                <w:rFonts w:ascii="Times New Roman" w:hint="eastAsia"/>
                <w:sz w:val="20"/>
              </w:rPr>
              <w:t xml:space="preserve"> </w:t>
            </w:r>
            <w:r>
              <w:rPr>
                <w:rFonts w:ascii="Times New Roman" w:hint="eastAsia"/>
                <w:sz w:val="20"/>
              </w:rPr>
              <w:t>汞、砷、硒、铋、锑的测定</w:t>
            </w:r>
            <w:r>
              <w:rPr>
                <w:rFonts w:ascii="Times New Roman" w:hint="eastAsia"/>
                <w:sz w:val="20"/>
              </w:rPr>
              <w:t xml:space="preserve"> </w:t>
            </w:r>
            <w:r>
              <w:rPr>
                <w:rFonts w:ascii="Times New Roman" w:hint="eastAsia"/>
                <w:sz w:val="20"/>
              </w:rPr>
              <w:t>微波消解</w:t>
            </w:r>
            <w:r>
              <w:rPr>
                <w:rFonts w:ascii="Times New Roman" w:hint="eastAsia"/>
                <w:sz w:val="20"/>
              </w:rPr>
              <w:t>/</w:t>
            </w:r>
            <w:r>
              <w:rPr>
                <w:rFonts w:ascii="Times New Roman" w:hint="eastAsia"/>
                <w:sz w:val="20"/>
              </w:rPr>
              <w:t>原子荧光法</w:t>
            </w:r>
          </w:p>
        </w:tc>
        <w:tc>
          <w:tcPr>
            <w:tcW w:w="1326" w:type="dxa"/>
            <w:vAlign w:val="center"/>
          </w:tcPr>
          <w:p w14:paraId="24F88FD8"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H</w:t>
            </w:r>
            <w:r>
              <w:rPr>
                <w:rFonts w:ascii="Times New Roman"/>
                <w:sz w:val="20"/>
              </w:rPr>
              <w:t>J 680</w:t>
            </w:r>
          </w:p>
        </w:tc>
      </w:tr>
      <w:tr w:rsidR="00B752A8" w14:paraId="12750664" w14:textId="77777777">
        <w:tc>
          <w:tcPr>
            <w:tcW w:w="675" w:type="dxa"/>
            <w:vMerge/>
            <w:vAlign w:val="center"/>
          </w:tcPr>
          <w:p w14:paraId="67DF6668" w14:textId="77777777" w:rsidR="00B752A8" w:rsidRDefault="00B752A8">
            <w:pPr>
              <w:pStyle w:val="affffc"/>
              <w:tabs>
                <w:tab w:val="left" w:pos="840"/>
              </w:tabs>
              <w:ind w:leftChars="0" w:left="0" w:firstLineChars="0" w:firstLine="0"/>
              <w:jc w:val="center"/>
              <w:rPr>
                <w:rFonts w:ascii="Times New Roman"/>
                <w:sz w:val="20"/>
              </w:rPr>
            </w:pPr>
          </w:p>
        </w:tc>
        <w:tc>
          <w:tcPr>
            <w:tcW w:w="987" w:type="dxa"/>
            <w:vMerge/>
            <w:vAlign w:val="center"/>
          </w:tcPr>
          <w:p w14:paraId="00689B4C" w14:textId="77777777" w:rsidR="00B752A8" w:rsidRDefault="00B752A8">
            <w:pPr>
              <w:pStyle w:val="affffc"/>
              <w:tabs>
                <w:tab w:val="left" w:pos="840"/>
              </w:tabs>
              <w:ind w:leftChars="0" w:left="0" w:firstLineChars="0" w:firstLine="0"/>
              <w:jc w:val="center"/>
              <w:rPr>
                <w:rFonts w:ascii="Times New Roman"/>
                <w:sz w:val="20"/>
              </w:rPr>
            </w:pPr>
          </w:p>
        </w:tc>
        <w:tc>
          <w:tcPr>
            <w:tcW w:w="5534" w:type="dxa"/>
            <w:vAlign w:val="center"/>
          </w:tcPr>
          <w:p w14:paraId="481A5B38"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土壤质量</w:t>
            </w:r>
            <w:r>
              <w:rPr>
                <w:rFonts w:ascii="Times New Roman" w:hint="eastAsia"/>
                <w:sz w:val="20"/>
              </w:rPr>
              <w:t xml:space="preserve"> </w:t>
            </w:r>
            <w:r>
              <w:rPr>
                <w:rFonts w:ascii="Times New Roman" w:hint="eastAsia"/>
                <w:sz w:val="20"/>
              </w:rPr>
              <w:t>总汞、总砷、</w:t>
            </w:r>
            <w:proofErr w:type="gramStart"/>
            <w:r>
              <w:rPr>
                <w:rFonts w:ascii="Times New Roman" w:hint="eastAsia"/>
                <w:sz w:val="20"/>
              </w:rPr>
              <w:t>总铅的</w:t>
            </w:r>
            <w:proofErr w:type="gramEnd"/>
            <w:r>
              <w:rPr>
                <w:rFonts w:ascii="Times New Roman" w:hint="eastAsia"/>
                <w:sz w:val="20"/>
              </w:rPr>
              <w:t>测定</w:t>
            </w:r>
            <w:r>
              <w:rPr>
                <w:rFonts w:ascii="Times New Roman" w:hint="eastAsia"/>
                <w:sz w:val="20"/>
              </w:rPr>
              <w:t xml:space="preserve"> </w:t>
            </w:r>
            <w:r>
              <w:rPr>
                <w:rFonts w:ascii="Times New Roman" w:hint="eastAsia"/>
                <w:sz w:val="20"/>
              </w:rPr>
              <w:t>原子荧光法</w:t>
            </w:r>
            <w:r>
              <w:rPr>
                <w:rFonts w:ascii="Times New Roman" w:hint="eastAsia"/>
                <w:sz w:val="20"/>
              </w:rPr>
              <w:t xml:space="preserve"> </w:t>
            </w:r>
            <w:r>
              <w:rPr>
                <w:rFonts w:ascii="Times New Roman" w:hint="eastAsia"/>
                <w:sz w:val="20"/>
              </w:rPr>
              <w:t>第</w:t>
            </w:r>
            <w:r>
              <w:rPr>
                <w:rFonts w:ascii="Times New Roman" w:hint="eastAsia"/>
                <w:sz w:val="20"/>
              </w:rPr>
              <w:t>2</w:t>
            </w:r>
            <w:r>
              <w:rPr>
                <w:rFonts w:ascii="Times New Roman" w:hint="eastAsia"/>
                <w:sz w:val="20"/>
              </w:rPr>
              <w:t>部分：土壤中总砷的测定</w:t>
            </w:r>
          </w:p>
        </w:tc>
        <w:tc>
          <w:tcPr>
            <w:tcW w:w="1326" w:type="dxa"/>
            <w:vAlign w:val="center"/>
          </w:tcPr>
          <w:p w14:paraId="362A5E6B"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G</w:t>
            </w:r>
            <w:r>
              <w:rPr>
                <w:rFonts w:ascii="Times New Roman"/>
                <w:sz w:val="20"/>
              </w:rPr>
              <w:t>B/T 22105.2</w:t>
            </w:r>
          </w:p>
        </w:tc>
      </w:tr>
      <w:tr w:rsidR="00B752A8" w14:paraId="436F7358" w14:textId="77777777">
        <w:tc>
          <w:tcPr>
            <w:tcW w:w="675" w:type="dxa"/>
            <w:vMerge w:val="restart"/>
            <w:vAlign w:val="center"/>
          </w:tcPr>
          <w:p w14:paraId="2E82E3CD"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4</w:t>
            </w:r>
          </w:p>
        </w:tc>
        <w:tc>
          <w:tcPr>
            <w:tcW w:w="987" w:type="dxa"/>
            <w:vMerge w:val="restart"/>
            <w:vAlign w:val="center"/>
          </w:tcPr>
          <w:p w14:paraId="6E69EF29"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铅</w:t>
            </w:r>
          </w:p>
        </w:tc>
        <w:tc>
          <w:tcPr>
            <w:tcW w:w="5534" w:type="dxa"/>
            <w:vAlign w:val="center"/>
          </w:tcPr>
          <w:p w14:paraId="7108E0DE"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土壤质量</w:t>
            </w:r>
            <w:r>
              <w:rPr>
                <w:rFonts w:ascii="Times New Roman" w:hint="eastAsia"/>
                <w:sz w:val="20"/>
              </w:rPr>
              <w:t xml:space="preserve"> </w:t>
            </w:r>
            <w:r>
              <w:rPr>
                <w:rFonts w:ascii="Times New Roman" w:hint="eastAsia"/>
                <w:sz w:val="20"/>
              </w:rPr>
              <w:t>铅、镉的测定</w:t>
            </w:r>
            <w:r>
              <w:rPr>
                <w:rFonts w:ascii="Times New Roman" w:hint="eastAsia"/>
                <w:sz w:val="20"/>
              </w:rPr>
              <w:t xml:space="preserve"> </w:t>
            </w:r>
            <w:r>
              <w:rPr>
                <w:rFonts w:ascii="Times New Roman" w:hint="eastAsia"/>
                <w:sz w:val="20"/>
              </w:rPr>
              <w:t>石墨炉原子吸收分光光度法</w:t>
            </w:r>
          </w:p>
        </w:tc>
        <w:tc>
          <w:tcPr>
            <w:tcW w:w="1326" w:type="dxa"/>
            <w:vAlign w:val="center"/>
          </w:tcPr>
          <w:p w14:paraId="7CA790EB" w14:textId="77777777" w:rsidR="00B752A8" w:rsidRDefault="00C46237">
            <w:pPr>
              <w:pStyle w:val="affffc"/>
              <w:tabs>
                <w:tab w:val="left" w:pos="840"/>
              </w:tabs>
              <w:ind w:leftChars="0" w:left="0" w:firstLineChars="0" w:firstLine="0"/>
              <w:jc w:val="center"/>
              <w:rPr>
                <w:rFonts w:ascii="Times New Roman"/>
                <w:sz w:val="20"/>
              </w:rPr>
            </w:pPr>
            <w:r>
              <w:rPr>
                <w:rFonts w:ascii="Times New Roman"/>
                <w:sz w:val="20"/>
              </w:rPr>
              <w:t>GB/T 17141</w:t>
            </w:r>
          </w:p>
        </w:tc>
      </w:tr>
      <w:tr w:rsidR="00B752A8" w14:paraId="56DCB2B9" w14:textId="77777777">
        <w:tc>
          <w:tcPr>
            <w:tcW w:w="675" w:type="dxa"/>
            <w:vMerge/>
            <w:vAlign w:val="center"/>
          </w:tcPr>
          <w:p w14:paraId="25A8C712" w14:textId="77777777" w:rsidR="00B752A8" w:rsidRDefault="00B752A8">
            <w:pPr>
              <w:pStyle w:val="affffc"/>
              <w:tabs>
                <w:tab w:val="left" w:pos="840"/>
              </w:tabs>
              <w:ind w:leftChars="0" w:left="0" w:firstLineChars="0" w:firstLine="0"/>
              <w:jc w:val="center"/>
              <w:rPr>
                <w:rFonts w:ascii="Times New Roman"/>
                <w:sz w:val="20"/>
              </w:rPr>
            </w:pPr>
          </w:p>
        </w:tc>
        <w:tc>
          <w:tcPr>
            <w:tcW w:w="987" w:type="dxa"/>
            <w:vMerge/>
            <w:vAlign w:val="center"/>
          </w:tcPr>
          <w:p w14:paraId="56E9B7AF" w14:textId="77777777" w:rsidR="00B752A8" w:rsidRDefault="00B752A8">
            <w:pPr>
              <w:pStyle w:val="affffc"/>
              <w:tabs>
                <w:tab w:val="left" w:pos="840"/>
              </w:tabs>
              <w:ind w:leftChars="0" w:left="0" w:firstLineChars="0" w:firstLine="0"/>
              <w:jc w:val="center"/>
              <w:rPr>
                <w:rFonts w:ascii="Times New Roman"/>
                <w:sz w:val="20"/>
              </w:rPr>
            </w:pPr>
          </w:p>
        </w:tc>
        <w:tc>
          <w:tcPr>
            <w:tcW w:w="5534" w:type="dxa"/>
            <w:vAlign w:val="center"/>
          </w:tcPr>
          <w:p w14:paraId="5F388C9D"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土壤和沉积物</w:t>
            </w:r>
            <w:r>
              <w:rPr>
                <w:rFonts w:ascii="Times New Roman" w:hint="eastAsia"/>
                <w:sz w:val="20"/>
              </w:rPr>
              <w:t xml:space="preserve"> </w:t>
            </w:r>
            <w:r>
              <w:rPr>
                <w:rFonts w:ascii="Times New Roman" w:hint="eastAsia"/>
                <w:sz w:val="20"/>
              </w:rPr>
              <w:t>无机元素的测定</w:t>
            </w:r>
            <w:r>
              <w:rPr>
                <w:rFonts w:ascii="Times New Roman" w:hint="eastAsia"/>
                <w:sz w:val="20"/>
              </w:rPr>
              <w:t xml:space="preserve"> </w:t>
            </w:r>
            <w:r>
              <w:rPr>
                <w:rFonts w:ascii="Times New Roman" w:hint="eastAsia"/>
                <w:sz w:val="20"/>
              </w:rPr>
              <w:t>波长色散</w:t>
            </w:r>
            <w:r>
              <w:rPr>
                <w:rFonts w:ascii="Times New Roman" w:hint="eastAsia"/>
                <w:sz w:val="20"/>
              </w:rPr>
              <w:t>X</w:t>
            </w:r>
            <w:r>
              <w:rPr>
                <w:rFonts w:ascii="Times New Roman" w:hint="eastAsia"/>
                <w:sz w:val="20"/>
              </w:rPr>
              <w:t>射线荧光光谱法</w:t>
            </w:r>
          </w:p>
        </w:tc>
        <w:tc>
          <w:tcPr>
            <w:tcW w:w="1326" w:type="dxa"/>
            <w:vAlign w:val="center"/>
          </w:tcPr>
          <w:p w14:paraId="17774D49"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H</w:t>
            </w:r>
            <w:r>
              <w:rPr>
                <w:rFonts w:ascii="Times New Roman"/>
                <w:sz w:val="20"/>
              </w:rPr>
              <w:t>J 780</w:t>
            </w:r>
          </w:p>
        </w:tc>
      </w:tr>
      <w:tr w:rsidR="00B752A8" w14:paraId="3157A5C9" w14:textId="77777777">
        <w:tc>
          <w:tcPr>
            <w:tcW w:w="675" w:type="dxa"/>
            <w:vMerge w:val="restart"/>
            <w:vAlign w:val="center"/>
          </w:tcPr>
          <w:p w14:paraId="6BC14ECD"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5</w:t>
            </w:r>
          </w:p>
        </w:tc>
        <w:tc>
          <w:tcPr>
            <w:tcW w:w="987" w:type="dxa"/>
            <w:vMerge w:val="restart"/>
            <w:vAlign w:val="center"/>
          </w:tcPr>
          <w:p w14:paraId="71F90861"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铬</w:t>
            </w:r>
          </w:p>
        </w:tc>
        <w:tc>
          <w:tcPr>
            <w:tcW w:w="5534" w:type="dxa"/>
            <w:vAlign w:val="center"/>
          </w:tcPr>
          <w:p w14:paraId="79C35F74"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土壤和沉积物</w:t>
            </w:r>
            <w:r>
              <w:rPr>
                <w:rFonts w:ascii="Times New Roman" w:hint="eastAsia"/>
                <w:sz w:val="20"/>
              </w:rPr>
              <w:t xml:space="preserve"> </w:t>
            </w:r>
            <w:r>
              <w:rPr>
                <w:rFonts w:ascii="Times New Roman" w:hint="eastAsia"/>
                <w:sz w:val="20"/>
              </w:rPr>
              <w:t>铜、锌、铅、镍、铬的测定</w:t>
            </w:r>
            <w:r>
              <w:rPr>
                <w:rFonts w:ascii="Times New Roman" w:hint="eastAsia"/>
                <w:sz w:val="20"/>
              </w:rPr>
              <w:t xml:space="preserve"> </w:t>
            </w:r>
            <w:r>
              <w:rPr>
                <w:rFonts w:ascii="Times New Roman" w:hint="eastAsia"/>
                <w:sz w:val="20"/>
              </w:rPr>
              <w:t>火焰原子吸收分光光度法</w:t>
            </w:r>
          </w:p>
        </w:tc>
        <w:tc>
          <w:tcPr>
            <w:tcW w:w="1326" w:type="dxa"/>
            <w:vAlign w:val="center"/>
          </w:tcPr>
          <w:p w14:paraId="5731ECD6"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H</w:t>
            </w:r>
            <w:r>
              <w:rPr>
                <w:rFonts w:ascii="Times New Roman"/>
                <w:sz w:val="20"/>
              </w:rPr>
              <w:t>J 491</w:t>
            </w:r>
          </w:p>
        </w:tc>
      </w:tr>
      <w:tr w:rsidR="00B752A8" w14:paraId="5D434031" w14:textId="77777777">
        <w:tc>
          <w:tcPr>
            <w:tcW w:w="675" w:type="dxa"/>
            <w:vMerge/>
            <w:vAlign w:val="center"/>
          </w:tcPr>
          <w:p w14:paraId="0A7FD3E8" w14:textId="77777777" w:rsidR="00B752A8" w:rsidRDefault="00B752A8">
            <w:pPr>
              <w:pStyle w:val="affffc"/>
              <w:tabs>
                <w:tab w:val="left" w:pos="840"/>
              </w:tabs>
              <w:ind w:leftChars="0" w:left="0" w:firstLineChars="0" w:firstLine="0"/>
              <w:jc w:val="center"/>
              <w:rPr>
                <w:rFonts w:ascii="Times New Roman"/>
                <w:sz w:val="20"/>
              </w:rPr>
            </w:pPr>
          </w:p>
        </w:tc>
        <w:tc>
          <w:tcPr>
            <w:tcW w:w="987" w:type="dxa"/>
            <w:vMerge/>
            <w:vAlign w:val="center"/>
          </w:tcPr>
          <w:p w14:paraId="64F1347C" w14:textId="77777777" w:rsidR="00B752A8" w:rsidRDefault="00B752A8">
            <w:pPr>
              <w:pStyle w:val="affffc"/>
              <w:tabs>
                <w:tab w:val="left" w:pos="840"/>
              </w:tabs>
              <w:ind w:leftChars="0" w:left="0" w:firstLineChars="0" w:firstLine="0"/>
              <w:jc w:val="center"/>
              <w:rPr>
                <w:rFonts w:ascii="Times New Roman"/>
                <w:sz w:val="20"/>
              </w:rPr>
            </w:pPr>
          </w:p>
        </w:tc>
        <w:tc>
          <w:tcPr>
            <w:tcW w:w="5534" w:type="dxa"/>
            <w:vAlign w:val="center"/>
          </w:tcPr>
          <w:p w14:paraId="147764A6" w14:textId="77777777" w:rsidR="00B752A8" w:rsidRDefault="00C46237">
            <w:pPr>
              <w:pStyle w:val="affffc"/>
              <w:tabs>
                <w:tab w:val="left" w:pos="840"/>
              </w:tabs>
              <w:spacing w:line="240" w:lineRule="auto"/>
              <w:ind w:leftChars="0" w:left="0" w:firstLineChars="0" w:firstLine="0"/>
              <w:rPr>
                <w:rFonts w:ascii="Times New Roman"/>
                <w:sz w:val="20"/>
              </w:rPr>
            </w:pPr>
            <w:r>
              <w:rPr>
                <w:rFonts w:ascii="Times New Roman" w:hint="eastAsia"/>
                <w:sz w:val="20"/>
              </w:rPr>
              <w:t>土壤和沉积物</w:t>
            </w:r>
            <w:r>
              <w:rPr>
                <w:rFonts w:ascii="Times New Roman" w:hint="eastAsia"/>
                <w:sz w:val="20"/>
              </w:rPr>
              <w:t xml:space="preserve"> </w:t>
            </w:r>
            <w:r>
              <w:rPr>
                <w:rFonts w:ascii="Times New Roman" w:hint="eastAsia"/>
                <w:sz w:val="20"/>
              </w:rPr>
              <w:t>无机元素的测定</w:t>
            </w:r>
            <w:r>
              <w:rPr>
                <w:rFonts w:ascii="Times New Roman" w:hint="eastAsia"/>
                <w:sz w:val="20"/>
              </w:rPr>
              <w:t xml:space="preserve"> </w:t>
            </w:r>
            <w:r>
              <w:rPr>
                <w:rFonts w:ascii="Times New Roman" w:hint="eastAsia"/>
                <w:sz w:val="20"/>
              </w:rPr>
              <w:t>波长色散</w:t>
            </w:r>
            <w:r>
              <w:rPr>
                <w:rFonts w:ascii="Times New Roman" w:hint="eastAsia"/>
                <w:sz w:val="20"/>
              </w:rPr>
              <w:t>X</w:t>
            </w:r>
            <w:r>
              <w:rPr>
                <w:rFonts w:ascii="Times New Roman" w:hint="eastAsia"/>
                <w:sz w:val="20"/>
              </w:rPr>
              <w:t>射线荧光光谱法</w:t>
            </w:r>
          </w:p>
        </w:tc>
        <w:tc>
          <w:tcPr>
            <w:tcW w:w="1326" w:type="dxa"/>
            <w:vAlign w:val="center"/>
          </w:tcPr>
          <w:p w14:paraId="435CE17D" w14:textId="77777777" w:rsidR="00B752A8" w:rsidRDefault="00C46237">
            <w:pPr>
              <w:pStyle w:val="affffc"/>
              <w:tabs>
                <w:tab w:val="left" w:pos="840"/>
              </w:tabs>
              <w:ind w:leftChars="0" w:left="0" w:firstLineChars="0" w:firstLine="0"/>
              <w:jc w:val="center"/>
              <w:rPr>
                <w:rFonts w:ascii="Times New Roman"/>
                <w:sz w:val="20"/>
              </w:rPr>
            </w:pPr>
            <w:r>
              <w:rPr>
                <w:rFonts w:ascii="Times New Roman" w:hint="eastAsia"/>
                <w:sz w:val="20"/>
              </w:rPr>
              <w:t>H</w:t>
            </w:r>
            <w:r>
              <w:rPr>
                <w:rFonts w:ascii="Times New Roman"/>
                <w:sz w:val="20"/>
              </w:rPr>
              <w:t>J 780</w:t>
            </w:r>
          </w:p>
        </w:tc>
      </w:tr>
    </w:tbl>
    <w:p w14:paraId="78027216" w14:textId="77777777" w:rsidR="00B752A8" w:rsidRDefault="00C46237">
      <w:pPr>
        <w:spacing w:beforeLines="50" w:before="156"/>
        <w:outlineLvl w:val="1"/>
        <w:rPr>
          <w:rFonts w:ascii="黑体" w:eastAsia="黑体" w:hAnsi="黑体" w:cs="黑体"/>
        </w:rPr>
      </w:pPr>
      <w:r>
        <w:rPr>
          <w:rFonts w:ascii="黑体" w:eastAsia="黑体" w:hAnsi="黑体" w:cs="黑体" w:hint="eastAsia"/>
        </w:rPr>
        <w:t>6.4  点位风险评估</w:t>
      </w:r>
    </w:p>
    <w:p w14:paraId="10DFB17A" w14:textId="2A14D0CB" w:rsidR="00B752A8" w:rsidRDefault="00C46237">
      <w:pPr>
        <w:pStyle w:val="af8"/>
        <w:ind w:firstLine="420"/>
        <w:rPr>
          <w:rFonts w:ascii="Times New Roman"/>
        </w:rPr>
      </w:pPr>
      <w:r>
        <w:rPr>
          <w:rFonts w:ascii="Times New Roman" w:hint="eastAsia"/>
        </w:rPr>
        <w:t>根据采样调查点位土壤和农产品重金属含量情况进行土壤与农产品协同风险评估，点位协同风险评估等级划分见表</w:t>
      </w:r>
      <w:r w:rsidR="00EA6A73">
        <w:rPr>
          <w:rFonts w:ascii="Times New Roman"/>
        </w:rPr>
        <w:t>3</w:t>
      </w:r>
      <w:r>
        <w:rPr>
          <w:rFonts w:ascii="Times New Roman" w:hint="eastAsia"/>
        </w:rPr>
        <w:t>。历史性成对点位也纳入评估范畴。当同一点位存在多项重金属污染时，点位协同风险评估结果取</w:t>
      </w:r>
      <w:r>
        <w:rPr>
          <w:rFonts w:ascii="Times New Roman" w:hint="eastAsia"/>
        </w:rPr>
        <w:t>5</w:t>
      </w:r>
      <w:r>
        <w:rPr>
          <w:rFonts w:ascii="Times New Roman" w:hint="eastAsia"/>
        </w:rPr>
        <w:t>项重金属中风险最高的元素进行确定。例如，某点</w:t>
      </w:r>
      <w:proofErr w:type="gramStart"/>
      <w:r>
        <w:rPr>
          <w:rFonts w:ascii="Times New Roman" w:hint="eastAsia"/>
        </w:rPr>
        <w:t>位同时</w:t>
      </w:r>
      <w:proofErr w:type="gramEnd"/>
      <w:r>
        <w:rPr>
          <w:rFonts w:ascii="Times New Roman" w:hint="eastAsia"/>
        </w:rPr>
        <w:t>存在镉、</w:t>
      </w:r>
      <w:proofErr w:type="gramStart"/>
      <w:r>
        <w:rPr>
          <w:rFonts w:ascii="Times New Roman" w:hint="eastAsia"/>
        </w:rPr>
        <w:t>铅两种</w:t>
      </w:r>
      <w:proofErr w:type="gramEnd"/>
      <w:r>
        <w:rPr>
          <w:rFonts w:ascii="Times New Roman" w:hint="eastAsia"/>
        </w:rPr>
        <w:t>污染物，该点位依据</w:t>
      </w:r>
      <w:proofErr w:type="gramStart"/>
      <w:r>
        <w:rPr>
          <w:rFonts w:ascii="Times New Roman" w:hint="eastAsia"/>
        </w:rPr>
        <w:t>镉</w:t>
      </w:r>
      <w:proofErr w:type="gramEnd"/>
      <w:r>
        <w:rPr>
          <w:rFonts w:ascii="Times New Roman" w:hint="eastAsia"/>
        </w:rPr>
        <w:t>级别划为安全利用类，依据铅级别划为严格管控类，综合考虑该点位应划为严格管控类。</w:t>
      </w:r>
    </w:p>
    <w:p w14:paraId="24511DF4" w14:textId="356221D4" w:rsidR="00B752A8" w:rsidRDefault="00C46237">
      <w:pPr>
        <w:pStyle w:val="ad"/>
        <w:shd w:val="clear" w:color="auto" w:fill="FFFFFF"/>
        <w:adjustRightInd w:val="0"/>
        <w:snapToGrid w:val="0"/>
        <w:spacing w:beforeLines="50" w:before="156" w:beforeAutospacing="0" w:after="0" w:afterAutospacing="0"/>
        <w:jc w:val="center"/>
        <w:rPr>
          <w:rFonts w:ascii="黑体" w:eastAsia="黑体" w:hAnsi="黑体" w:cs="黑体"/>
          <w:color w:val="333333"/>
          <w:sz w:val="21"/>
          <w:szCs w:val="21"/>
        </w:rPr>
      </w:pPr>
      <w:r>
        <w:rPr>
          <w:rFonts w:ascii="黑体" w:eastAsia="黑体" w:hAnsi="黑体" w:cs="黑体" w:hint="eastAsia"/>
          <w:color w:val="333333"/>
          <w:sz w:val="21"/>
          <w:szCs w:val="21"/>
        </w:rPr>
        <w:lastRenderedPageBreak/>
        <w:t>表</w:t>
      </w:r>
      <w:r w:rsidR="004B176C">
        <w:rPr>
          <w:rFonts w:ascii="黑体" w:eastAsia="黑体" w:hAnsi="黑体" w:cs="黑体" w:hint="eastAsia"/>
          <w:color w:val="333333"/>
          <w:sz w:val="21"/>
          <w:szCs w:val="21"/>
        </w:rPr>
        <w:t>3</w:t>
      </w:r>
      <w:r>
        <w:rPr>
          <w:rFonts w:ascii="黑体" w:eastAsia="黑体" w:hAnsi="黑体" w:cs="黑体" w:hint="eastAsia"/>
          <w:color w:val="333333"/>
          <w:sz w:val="21"/>
          <w:szCs w:val="21"/>
        </w:rPr>
        <w:t xml:space="preserve">  点位风险评估水平及划分依据</w:t>
      </w:r>
    </w:p>
    <w:tbl>
      <w:tblPr>
        <w:tblW w:w="8414" w:type="dxa"/>
        <w:tblInd w:w="108" w:type="dxa"/>
        <w:tblLook w:val="04A0" w:firstRow="1" w:lastRow="0" w:firstColumn="1" w:lastColumn="0" w:noHBand="0" w:noVBand="1"/>
      </w:tblPr>
      <w:tblGrid>
        <w:gridCol w:w="699"/>
        <w:gridCol w:w="1258"/>
        <w:gridCol w:w="1843"/>
        <w:gridCol w:w="1324"/>
        <w:gridCol w:w="3290"/>
      </w:tblGrid>
      <w:tr w:rsidR="00B752A8" w14:paraId="43C8826B" w14:textId="77777777">
        <w:trPr>
          <w:trHeight w:val="568"/>
          <w:tblHeader/>
        </w:trPr>
        <w:tc>
          <w:tcPr>
            <w:tcW w:w="699" w:type="dxa"/>
            <w:vMerge w:val="restart"/>
            <w:tcBorders>
              <w:top w:val="single" w:sz="8" w:space="0" w:color="auto"/>
              <w:left w:val="single" w:sz="8" w:space="0" w:color="auto"/>
              <w:right w:val="single" w:sz="4" w:space="0" w:color="auto"/>
            </w:tcBorders>
            <w:shd w:val="clear" w:color="auto" w:fill="auto"/>
            <w:noWrap/>
            <w:vAlign w:val="center"/>
          </w:tcPr>
          <w:p w14:paraId="56F6EB03" w14:textId="77777777" w:rsidR="00B752A8" w:rsidRDefault="00C46237">
            <w:pPr>
              <w:spacing w:line="276" w:lineRule="auto"/>
              <w:jc w:val="center"/>
              <w:rPr>
                <w:rFonts w:cs="Arial Unicode MS"/>
                <w:b/>
                <w:bCs/>
                <w:kern w:val="0"/>
                <w:sz w:val="20"/>
                <w:szCs w:val="20"/>
              </w:rPr>
            </w:pPr>
            <w:r>
              <w:rPr>
                <w:rFonts w:cs="Arial Unicode MS" w:hint="eastAsia"/>
                <w:b/>
                <w:bCs/>
                <w:kern w:val="0"/>
                <w:sz w:val="20"/>
                <w:szCs w:val="20"/>
              </w:rPr>
              <w:t>点</w:t>
            </w:r>
            <w:proofErr w:type="gramStart"/>
            <w:r>
              <w:rPr>
                <w:rFonts w:cs="Arial Unicode MS" w:hint="eastAsia"/>
                <w:b/>
                <w:bCs/>
                <w:kern w:val="0"/>
                <w:sz w:val="20"/>
                <w:szCs w:val="20"/>
              </w:rPr>
              <w:t>位类型</w:t>
            </w:r>
            <w:proofErr w:type="gramEnd"/>
          </w:p>
        </w:tc>
        <w:tc>
          <w:tcPr>
            <w:tcW w:w="3101" w:type="dxa"/>
            <w:gridSpan w:val="2"/>
            <w:tcBorders>
              <w:top w:val="single" w:sz="8" w:space="0" w:color="auto"/>
              <w:left w:val="nil"/>
              <w:bottom w:val="single" w:sz="4" w:space="0" w:color="auto"/>
              <w:right w:val="single" w:sz="4" w:space="0" w:color="auto"/>
            </w:tcBorders>
            <w:shd w:val="clear" w:color="auto" w:fill="auto"/>
            <w:noWrap/>
            <w:vAlign w:val="center"/>
          </w:tcPr>
          <w:p w14:paraId="59A2B5F8" w14:textId="77777777" w:rsidR="00B752A8" w:rsidRDefault="00C46237">
            <w:pPr>
              <w:spacing w:line="276" w:lineRule="auto"/>
              <w:jc w:val="center"/>
              <w:rPr>
                <w:rFonts w:cs="Arial Unicode MS"/>
                <w:b/>
                <w:bCs/>
                <w:kern w:val="0"/>
                <w:sz w:val="20"/>
                <w:szCs w:val="20"/>
              </w:rPr>
            </w:pPr>
            <w:r>
              <w:rPr>
                <w:rFonts w:cs="Arial Unicode MS" w:hint="eastAsia"/>
                <w:b/>
                <w:bCs/>
                <w:kern w:val="0"/>
                <w:sz w:val="20"/>
                <w:szCs w:val="20"/>
              </w:rPr>
              <w:t>划分依据</w:t>
            </w:r>
          </w:p>
        </w:tc>
        <w:tc>
          <w:tcPr>
            <w:tcW w:w="1324" w:type="dxa"/>
            <w:vMerge w:val="restart"/>
            <w:tcBorders>
              <w:top w:val="single" w:sz="8" w:space="0" w:color="auto"/>
              <w:left w:val="nil"/>
              <w:right w:val="single" w:sz="4" w:space="0" w:color="auto"/>
            </w:tcBorders>
            <w:shd w:val="clear" w:color="auto" w:fill="auto"/>
            <w:noWrap/>
            <w:vAlign w:val="center"/>
          </w:tcPr>
          <w:p w14:paraId="522BC9CD" w14:textId="77777777" w:rsidR="00B752A8" w:rsidRDefault="00C46237">
            <w:pPr>
              <w:spacing w:line="276" w:lineRule="auto"/>
              <w:jc w:val="center"/>
              <w:rPr>
                <w:rFonts w:cs="Arial Unicode MS"/>
                <w:b/>
                <w:bCs/>
                <w:kern w:val="0"/>
                <w:sz w:val="20"/>
                <w:szCs w:val="20"/>
              </w:rPr>
            </w:pPr>
            <w:r>
              <w:rPr>
                <w:rFonts w:cs="Arial Unicode MS" w:hint="eastAsia"/>
                <w:b/>
                <w:bCs/>
                <w:kern w:val="0"/>
                <w:sz w:val="20"/>
                <w:szCs w:val="20"/>
              </w:rPr>
              <w:t>风险水平</w:t>
            </w:r>
          </w:p>
        </w:tc>
        <w:tc>
          <w:tcPr>
            <w:tcW w:w="3290" w:type="dxa"/>
            <w:vMerge w:val="restart"/>
            <w:tcBorders>
              <w:top w:val="single" w:sz="8" w:space="0" w:color="auto"/>
              <w:left w:val="nil"/>
              <w:right w:val="single" w:sz="4" w:space="0" w:color="auto"/>
            </w:tcBorders>
            <w:vAlign w:val="center"/>
          </w:tcPr>
          <w:p w14:paraId="74E9AE16" w14:textId="77777777" w:rsidR="00B752A8" w:rsidRDefault="00C46237">
            <w:pPr>
              <w:spacing w:line="276" w:lineRule="auto"/>
              <w:jc w:val="center"/>
              <w:rPr>
                <w:rFonts w:cs="Arial Unicode MS"/>
                <w:b/>
                <w:bCs/>
                <w:kern w:val="0"/>
                <w:sz w:val="20"/>
                <w:szCs w:val="20"/>
              </w:rPr>
            </w:pPr>
            <w:r>
              <w:rPr>
                <w:rFonts w:cs="Arial Unicode MS" w:hint="eastAsia"/>
                <w:b/>
                <w:bCs/>
                <w:kern w:val="0"/>
                <w:sz w:val="20"/>
                <w:szCs w:val="20"/>
              </w:rPr>
              <w:t>划分依据说明</w:t>
            </w:r>
          </w:p>
        </w:tc>
      </w:tr>
      <w:tr w:rsidR="00B752A8" w14:paraId="4C76CF87" w14:textId="77777777">
        <w:trPr>
          <w:trHeight w:val="568"/>
          <w:tblHeader/>
        </w:trPr>
        <w:tc>
          <w:tcPr>
            <w:tcW w:w="699" w:type="dxa"/>
            <w:vMerge/>
            <w:tcBorders>
              <w:left w:val="single" w:sz="8" w:space="0" w:color="auto"/>
              <w:bottom w:val="single" w:sz="4" w:space="0" w:color="auto"/>
              <w:right w:val="single" w:sz="4" w:space="0" w:color="auto"/>
            </w:tcBorders>
            <w:shd w:val="clear" w:color="auto" w:fill="auto"/>
            <w:noWrap/>
            <w:vAlign w:val="center"/>
          </w:tcPr>
          <w:p w14:paraId="7E402998" w14:textId="77777777" w:rsidR="00B752A8" w:rsidRDefault="00B752A8">
            <w:pPr>
              <w:spacing w:line="276" w:lineRule="auto"/>
              <w:jc w:val="center"/>
              <w:rPr>
                <w:rFonts w:cs="Arial Unicode MS"/>
                <w:bCs/>
                <w:kern w:val="0"/>
                <w:sz w:val="20"/>
                <w:szCs w:val="20"/>
              </w:rPr>
            </w:pP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7E88AD8B" w14:textId="77777777" w:rsidR="00B752A8" w:rsidRDefault="00C46237">
            <w:pPr>
              <w:spacing w:line="276" w:lineRule="auto"/>
              <w:jc w:val="center"/>
              <w:rPr>
                <w:rFonts w:cs="Arial Unicode MS"/>
                <w:b/>
                <w:bCs/>
                <w:kern w:val="0"/>
                <w:sz w:val="20"/>
                <w:szCs w:val="20"/>
              </w:rPr>
            </w:pPr>
            <w:r>
              <w:rPr>
                <w:rFonts w:cs="Arial Unicode MS" w:hint="eastAsia"/>
                <w:b/>
                <w:bCs/>
                <w:kern w:val="0"/>
                <w:sz w:val="20"/>
                <w:szCs w:val="20"/>
              </w:rPr>
              <w:t>土壤重金属含量（</w:t>
            </w:r>
            <w:r>
              <w:rPr>
                <w:rFonts w:cs="Arial Unicode MS" w:hint="eastAsia"/>
                <w:b/>
                <w:bCs/>
                <w:i/>
                <w:kern w:val="0"/>
                <w:sz w:val="20"/>
                <w:szCs w:val="20"/>
              </w:rPr>
              <w:t>C</w:t>
            </w:r>
            <w:r>
              <w:rPr>
                <w:rFonts w:cs="Arial Unicode MS" w:hint="eastAsia"/>
                <w:b/>
                <w:bCs/>
                <w:i/>
                <w:kern w:val="0"/>
                <w:sz w:val="20"/>
                <w:szCs w:val="20"/>
                <w:vertAlign w:val="subscript"/>
              </w:rPr>
              <w:t>i</w:t>
            </w:r>
            <w:r>
              <w:rPr>
                <w:rFonts w:cs="Arial Unicode MS" w:hint="eastAsia"/>
                <w:b/>
                <w:bCs/>
                <w:kern w:val="0"/>
                <w:sz w:val="20"/>
                <w:szCs w:val="20"/>
              </w:rPr>
              <w:t>）</w:t>
            </w:r>
            <w:r>
              <w:rPr>
                <w:rFonts w:eastAsia="仿宋"/>
                <w:b/>
                <w:iCs/>
                <w:sz w:val="20"/>
                <w:szCs w:val="20"/>
                <w:vertAlign w:val="superscript"/>
              </w:rPr>
              <w:t>1</w:t>
            </w:r>
          </w:p>
        </w:tc>
        <w:tc>
          <w:tcPr>
            <w:tcW w:w="1843" w:type="dxa"/>
            <w:tcBorders>
              <w:top w:val="single" w:sz="4" w:space="0" w:color="auto"/>
              <w:left w:val="nil"/>
              <w:bottom w:val="single" w:sz="4" w:space="0" w:color="auto"/>
              <w:right w:val="single" w:sz="4" w:space="0" w:color="auto"/>
            </w:tcBorders>
            <w:shd w:val="clear" w:color="auto" w:fill="auto"/>
            <w:vAlign w:val="center"/>
          </w:tcPr>
          <w:p w14:paraId="5C769B1D" w14:textId="77777777" w:rsidR="00B752A8" w:rsidRDefault="00C46237">
            <w:pPr>
              <w:spacing w:line="276" w:lineRule="auto"/>
              <w:jc w:val="center"/>
              <w:rPr>
                <w:rFonts w:cs="Arial Unicode MS"/>
                <w:b/>
                <w:bCs/>
                <w:kern w:val="0"/>
                <w:sz w:val="20"/>
                <w:szCs w:val="20"/>
              </w:rPr>
            </w:pPr>
            <w:r>
              <w:rPr>
                <w:rFonts w:cs="Arial Unicode MS" w:hint="eastAsia"/>
                <w:b/>
                <w:bCs/>
                <w:kern w:val="0"/>
                <w:sz w:val="20"/>
                <w:szCs w:val="20"/>
              </w:rPr>
              <w:t>食用农产品</w:t>
            </w:r>
          </w:p>
          <w:p w14:paraId="4D299DD9" w14:textId="77777777" w:rsidR="00B752A8" w:rsidRDefault="00C46237">
            <w:pPr>
              <w:spacing w:line="276" w:lineRule="auto"/>
              <w:jc w:val="center"/>
              <w:rPr>
                <w:rFonts w:cs="Arial Unicode MS"/>
                <w:b/>
                <w:bCs/>
                <w:kern w:val="0"/>
                <w:sz w:val="20"/>
                <w:szCs w:val="20"/>
              </w:rPr>
            </w:pPr>
            <w:r>
              <w:rPr>
                <w:rFonts w:cs="Arial Unicode MS" w:hint="eastAsia"/>
                <w:b/>
                <w:bCs/>
                <w:kern w:val="0"/>
                <w:sz w:val="20"/>
                <w:szCs w:val="20"/>
              </w:rPr>
              <w:t>重金属含量（</w:t>
            </w:r>
            <w:proofErr w:type="spellStart"/>
            <w:r>
              <w:rPr>
                <w:rFonts w:cs="Arial Unicode MS" w:hint="eastAsia"/>
                <w:b/>
                <w:bCs/>
                <w:i/>
                <w:kern w:val="0"/>
                <w:sz w:val="20"/>
                <w:szCs w:val="20"/>
              </w:rPr>
              <w:t>E</w:t>
            </w:r>
            <w:r>
              <w:rPr>
                <w:rFonts w:cs="Arial Unicode MS" w:hint="eastAsia"/>
                <w:b/>
                <w:bCs/>
                <w:i/>
                <w:kern w:val="0"/>
                <w:sz w:val="20"/>
                <w:szCs w:val="20"/>
                <w:vertAlign w:val="subscript"/>
              </w:rPr>
              <w:t>i</w:t>
            </w:r>
            <w:proofErr w:type="spellEnd"/>
            <w:r>
              <w:rPr>
                <w:rFonts w:cs="Arial Unicode MS" w:hint="eastAsia"/>
                <w:b/>
                <w:bCs/>
                <w:kern w:val="0"/>
                <w:sz w:val="20"/>
                <w:szCs w:val="20"/>
              </w:rPr>
              <w:t>）</w:t>
            </w:r>
            <w:r>
              <w:rPr>
                <w:rFonts w:cs="Arial Unicode MS"/>
                <w:b/>
                <w:iCs/>
                <w:kern w:val="0"/>
                <w:sz w:val="20"/>
                <w:szCs w:val="20"/>
                <w:vertAlign w:val="superscript"/>
              </w:rPr>
              <w:t>2</w:t>
            </w:r>
          </w:p>
        </w:tc>
        <w:tc>
          <w:tcPr>
            <w:tcW w:w="1324" w:type="dxa"/>
            <w:vMerge/>
            <w:tcBorders>
              <w:left w:val="nil"/>
              <w:bottom w:val="single" w:sz="4" w:space="0" w:color="auto"/>
              <w:right w:val="single" w:sz="4" w:space="0" w:color="auto"/>
            </w:tcBorders>
            <w:shd w:val="clear" w:color="auto" w:fill="auto"/>
            <w:noWrap/>
            <w:vAlign w:val="center"/>
          </w:tcPr>
          <w:p w14:paraId="50996067" w14:textId="77777777" w:rsidR="00B752A8" w:rsidRDefault="00B752A8">
            <w:pPr>
              <w:spacing w:line="276" w:lineRule="auto"/>
              <w:jc w:val="center"/>
              <w:rPr>
                <w:rFonts w:cs="Arial Unicode MS"/>
                <w:b/>
                <w:bCs/>
                <w:kern w:val="0"/>
                <w:sz w:val="20"/>
                <w:szCs w:val="20"/>
              </w:rPr>
            </w:pPr>
          </w:p>
        </w:tc>
        <w:tc>
          <w:tcPr>
            <w:tcW w:w="3290" w:type="dxa"/>
            <w:vMerge/>
            <w:tcBorders>
              <w:left w:val="nil"/>
              <w:bottom w:val="single" w:sz="4" w:space="0" w:color="auto"/>
              <w:right w:val="single" w:sz="4" w:space="0" w:color="auto"/>
            </w:tcBorders>
            <w:vAlign w:val="center"/>
          </w:tcPr>
          <w:p w14:paraId="27142FB4" w14:textId="77777777" w:rsidR="00B752A8" w:rsidRDefault="00B752A8">
            <w:pPr>
              <w:spacing w:line="276" w:lineRule="auto"/>
              <w:jc w:val="center"/>
              <w:rPr>
                <w:rFonts w:cs="Arial Unicode MS"/>
                <w:b/>
                <w:bCs/>
                <w:kern w:val="0"/>
                <w:sz w:val="20"/>
                <w:szCs w:val="20"/>
              </w:rPr>
            </w:pPr>
          </w:p>
        </w:tc>
      </w:tr>
      <w:tr w:rsidR="00B752A8" w14:paraId="31970548" w14:textId="77777777">
        <w:trPr>
          <w:trHeight w:val="422"/>
        </w:trPr>
        <w:tc>
          <w:tcPr>
            <w:tcW w:w="699" w:type="dxa"/>
            <w:tcBorders>
              <w:top w:val="nil"/>
              <w:left w:val="single" w:sz="8" w:space="0" w:color="auto"/>
              <w:bottom w:val="single" w:sz="4" w:space="0" w:color="auto"/>
              <w:right w:val="single" w:sz="4" w:space="0" w:color="auto"/>
            </w:tcBorders>
            <w:shd w:val="clear" w:color="auto" w:fill="auto"/>
            <w:noWrap/>
            <w:vAlign w:val="center"/>
          </w:tcPr>
          <w:p w14:paraId="05043E4C" w14:textId="77777777" w:rsidR="00B752A8" w:rsidRDefault="00C46237">
            <w:pPr>
              <w:spacing w:line="276" w:lineRule="auto"/>
              <w:jc w:val="center"/>
              <w:rPr>
                <w:rFonts w:cs="Arial Unicode MS"/>
                <w:kern w:val="0"/>
                <w:sz w:val="20"/>
                <w:szCs w:val="20"/>
              </w:rPr>
            </w:pPr>
            <w:r>
              <w:rPr>
                <w:rFonts w:cs="Arial Unicode MS" w:hint="eastAsia"/>
                <w:kern w:val="0"/>
                <w:sz w:val="20"/>
                <w:szCs w:val="20"/>
              </w:rPr>
              <w:t>I</w:t>
            </w:r>
            <w:r>
              <w:rPr>
                <w:rFonts w:cs="Arial Unicode MS"/>
                <w:kern w:val="0"/>
                <w:sz w:val="20"/>
                <w:szCs w:val="20"/>
                <w:vertAlign w:val="subscript"/>
              </w:rPr>
              <w:t>1</w:t>
            </w:r>
          </w:p>
        </w:tc>
        <w:tc>
          <w:tcPr>
            <w:tcW w:w="1258" w:type="dxa"/>
            <w:tcBorders>
              <w:top w:val="nil"/>
              <w:left w:val="nil"/>
              <w:bottom w:val="single" w:sz="4" w:space="0" w:color="auto"/>
              <w:right w:val="single" w:sz="4" w:space="0" w:color="auto"/>
            </w:tcBorders>
            <w:shd w:val="clear" w:color="auto" w:fill="auto"/>
            <w:noWrap/>
            <w:vAlign w:val="center"/>
          </w:tcPr>
          <w:p w14:paraId="0ED68B55" w14:textId="77777777" w:rsidR="00B752A8" w:rsidRDefault="00C46237">
            <w:pPr>
              <w:spacing w:line="276" w:lineRule="auto"/>
              <w:jc w:val="center"/>
              <w:rPr>
                <w:iCs/>
                <w:kern w:val="0"/>
                <w:sz w:val="20"/>
                <w:szCs w:val="20"/>
              </w:rPr>
            </w:pPr>
            <w:proofErr w:type="spellStart"/>
            <w:r>
              <w:rPr>
                <w:rFonts w:eastAsia="仿宋"/>
                <w:i/>
                <w:sz w:val="20"/>
                <w:szCs w:val="20"/>
              </w:rPr>
              <w:t>C</w:t>
            </w:r>
            <w:r>
              <w:rPr>
                <w:rFonts w:eastAsia="仿宋"/>
                <w:i/>
                <w:sz w:val="20"/>
                <w:szCs w:val="20"/>
                <w:vertAlign w:val="subscript"/>
              </w:rPr>
              <w:t>i</w:t>
            </w:r>
            <w:r>
              <w:rPr>
                <w:rFonts w:eastAsia="仿宋_GB2312"/>
                <w:sz w:val="20"/>
                <w:szCs w:val="20"/>
              </w:rPr>
              <w:t>≤</w:t>
            </w:r>
            <w:r>
              <w:rPr>
                <w:rFonts w:eastAsia="仿宋"/>
                <w:i/>
                <w:sz w:val="20"/>
                <w:szCs w:val="20"/>
              </w:rPr>
              <w:t>S</w:t>
            </w:r>
            <w:r>
              <w:rPr>
                <w:rFonts w:eastAsia="仿宋"/>
                <w:i/>
                <w:sz w:val="20"/>
                <w:szCs w:val="20"/>
                <w:vertAlign w:val="subscript"/>
              </w:rPr>
              <w:t>i</w:t>
            </w:r>
            <w:proofErr w:type="spellEnd"/>
          </w:p>
        </w:tc>
        <w:tc>
          <w:tcPr>
            <w:tcW w:w="1843" w:type="dxa"/>
            <w:tcBorders>
              <w:top w:val="nil"/>
              <w:left w:val="nil"/>
              <w:bottom w:val="single" w:sz="4" w:space="0" w:color="auto"/>
              <w:right w:val="single" w:sz="4" w:space="0" w:color="auto"/>
            </w:tcBorders>
            <w:shd w:val="clear" w:color="auto" w:fill="auto"/>
            <w:noWrap/>
            <w:vAlign w:val="center"/>
          </w:tcPr>
          <w:p w14:paraId="57ABE550" w14:textId="77777777" w:rsidR="00B752A8" w:rsidRDefault="00C46237">
            <w:pPr>
              <w:spacing w:line="276" w:lineRule="auto"/>
              <w:jc w:val="center"/>
              <w:rPr>
                <w:kern w:val="0"/>
                <w:sz w:val="20"/>
                <w:szCs w:val="20"/>
              </w:rPr>
            </w:pPr>
            <w:proofErr w:type="spellStart"/>
            <w:r>
              <w:rPr>
                <w:bCs/>
                <w:i/>
                <w:kern w:val="0"/>
                <w:sz w:val="20"/>
                <w:szCs w:val="20"/>
              </w:rPr>
              <w:t>E</w:t>
            </w:r>
            <w:r>
              <w:rPr>
                <w:bCs/>
                <w:i/>
                <w:kern w:val="0"/>
                <w:sz w:val="20"/>
                <w:szCs w:val="20"/>
                <w:vertAlign w:val="subscript"/>
              </w:rPr>
              <w:t>i</w:t>
            </w:r>
            <w:r>
              <w:rPr>
                <w:rFonts w:eastAsia="仿宋_GB2312"/>
                <w:sz w:val="20"/>
                <w:szCs w:val="20"/>
              </w:rPr>
              <w:t>≤</w:t>
            </w:r>
            <w:r>
              <w:rPr>
                <w:i/>
                <w:kern w:val="0"/>
                <w:sz w:val="20"/>
                <w:szCs w:val="20"/>
              </w:rPr>
              <w:t>P</w:t>
            </w:r>
            <w:r>
              <w:rPr>
                <w:i/>
                <w:kern w:val="0"/>
                <w:sz w:val="20"/>
                <w:szCs w:val="20"/>
                <w:vertAlign w:val="subscript"/>
              </w:rPr>
              <w:t>i</w:t>
            </w:r>
            <w:proofErr w:type="spellEnd"/>
          </w:p>
        </w:tc>
        <w:tc>
          <w:tcPr>
            <w:tcW w:w="1324" w:type="dxa"/>
            <w:tcBorders>
              <w:top w:val="nil"/>
              <w:left w:val="nil"/>
              <w:bottom w:val="single" w:sz="4" w:space="0" w:color="auto"/>
              <w:right w:val="single" w:sz="4" w:space="0" w:color="auto"/>
            </w:tcBorders>
            <w:shd w:val="clear" w:color="auto" w:fill="auto"/>
            <w:noWrap/>
            <w:vAlign w:val="center"/>
          </w:tcPr>
          <w:p w14:paraId="7889190F" w14:textId="77777777" w:rsidR="00B752A8" w:rsidRDefault="00C46237">
            <w:pPr>
              <w:spacing w:line="276" w:lineRule="auto"/>
              <w:jc w:val="center"/>
              <w:rPr>
                <w:rFonts w:cs="Arial Unicode MS"/>
                <w:kern w:val="0"/>
                <w:sz w:val="20"/>
                <w:szCs w:val="20"/>
              </w:rPr>
            </w:pPr>
            <w:r>
              <w:rPr>
                <w:rFonts w:cs="Arial Unicode MS" w:hint="eastAsia"/>
                <w:kern w:val="0"/>
                <w:sz w:val="20"/>
                <w:szCs w:val="20"/>
              </w:rPr>
              <w:t>无风险或风险可忽略</w:t>
            </w:r>
          </w:p>
        </w:tc>
        <w:tc>
          <w:tcPr>
            <w:tcW w:w="3290" w:type="dxa"/>
            <w:tcBorders>
              <w:top w:val="nil"/>
              <w:left w:val="nil"/>
              <w:bottom w:val="single" w:sz="4" w:space="0" w:color="auto"/>
              <w:right w:val="single" w:sz="4" w:space="0" w:color="auto"/>
            </w:tcBorders>
            <w:vAlign w:val="center"/>
          </w:tcPr>
          <w:p w14:paraId="3E933CF9" w14:textId="77777777" w:rsidR="00B752A8" w:rsidRDefault="00C46237">
            <w:pPr>
              <w:spacing w:line="276" w:lineRule="auto"/>
              <w:jc w:val="left"/>
              <w:rPr>
                <w:rFonts w:cs="Arial Unicode MS"/>
                <w:kern w:val="0"/>
                <w:sz w:val="20"/>
                <w:szCs w:val="20"/>
              </w:rPr>
            </w:pPr>
            <w:r>
              <w:rPr>
                <w:rFonts w:cs="宋体" w:hint="eastAsia"/>
                <w:kern w:val="0"/>
                <w:sz w:val="20"/>
                <w:szCs w:val="20"/>
              </w:rPr>
              <w:t>土壤重金属含量未超过筛选值，农产品达标，表明生产环境对农产品安全未构成危害</w:t>
            </w:r>
          </w:p>
        </w:tc>
      </w:tr>
      <w:tr w:rsidR="00B752A8" w14:paraId="5960F48F" w14:textId="77777777">
        <w:trPr>
          <w:trHeight w:val="422"/>
        </w:trPr>
        <w:tc>
          <w:tcPr>
            <w:tcW w:w="699" w:type="dxa"/>
            <w:tcBorders>
              <w:top w:val="nil"/>
              <w:left w:val="single" w:sz="8" w:space="0" w:color="auto"/>
              <w:bottom w:val="single" w:sz="4" w:space="0" w:color="auto"/>
              <w:right w:val="single" w:sz="4" w:space="0" w:color="auto"/>
            </w:tcBorders>
            <w:shd w:val="clear" w:color="auto" w:fill="auto"/>
            <w:noWrap/>
            <w:vAlign w:val="center"/>
          </w:tcPr>
          <w:p w14:paraId="09B2796B" w14:textId="77777777" w:rsidR="00B752A8" w:rsidRDefault="00C46237">
            <w:pPr>
              <w:spacing w:line="276" w:lineRule="auto"/>
              <w:jc w:val="center"/>
              <w:rPr>
                <w:rFonts w:cs="Arial Unicode MS"/>
                <w:kern w:val="0"/>
                <w:sz w:val="20"/>
                <w:szCs w:val="20"/>
                <w:vertAlign w:val="subscript"/>
              </w:rPr>
            </w:pPr>
            <w:r>
              <w:rPr>
                <w:rFonts w:cs="Arial Unicode MS" w:hint="eastAsia"/>
                <w:kern w:val="0"/>
                <w:sz w:val="20"/>
                <w:szCs w:val="20"/>
              </w:rPr>
              <w:t>I</w:t>
            </w:r>
            <w:r>
              <w:rPr>
                <w:rFonts w:cs="Arial Unicode MS"/>
                <w:kern w:val="0"/>
                <w:sz w:val="20"/>
                <w:szCs w:val="20"/>
                <w:vertAlign w:val="subscript"/>
              </w:rPr>
              <w:t>2</w:t>
            </w:r>
          </w:p>
        </w:tc>
        <w:tc>
          <w:tcPr>
            <w:tcW w:w="1258" w:type="dxa"/>
            <w:tcBorders>
              <w:top w:val="nil"/>
              <w:left w:val="nil"/>
              <w:bottom w:val="single" w:sz="4" w:space="0" w:color="auto"/>
              <w:right w:val="single" w:sz="4" w:space="0" w:color="auto"/>
            </w:tcBorders>
            <w:shd w:val="clear" w:color="auto" w:fill="auto"/>
            <w:noWrap/>
            <w:vAlign w:val="center"/>
          </w:tcPr>
          <w:p w14:paraId="1EE8C4AE" w14:textId="77777777" w:rsidR="00B752A8" w:rsidRDefault="00C46237">
            <w:pPr>
              <w:spacing w:line="276" w:lineRule="auto"/>
              <w:jc w:val="center"/>
              <w:rPr>
                <w:kern w:val="0"/>
                <w:sz w:val="20"/>
                <w:szCs w:val="20"/>
              </w:rPr>
            </w:pPr>
            <w:r>
              <w:rPr>
                <w:rFonts w:eastAsia="仿宋"/>
                <w:i/>
                <w:sz w:val="20"/>
                <w:szCs w:val="20"/>
              </w:rPr>
              <w:t>S</w:t>
            </w:r>
            <w:r>
              <w:rPr>
                <w:rFonts w:eastAsia="仿宋"/>
                <w:i/>
                <w:sz w:val="20"/>
                <w:szCs w:val="20"/>
                <w:vertAlign w:val="subscript"/>
              </w:rPr>
              <w:t>i</w:t>
            </w:r>
            <w:r>
              <w:rPr>
                <w:rFonts w:eastAsia="仿宋_GB2312"/>
                <w:color w:val="000000"/>
                <w:sz w:val="20"/>
                <w:szCs w:val="20"/>
              </w:rPr>
              <w:t>&lt;</w:t>
            </w:r>
            <w:proofErr w:type="spellStart"/>
            <w:r>
              <w:rPr>
                <w:rFonts w:eastAsia="仿宋"/>
                <w:i/>
                <w:sz w:val="20"/>
                <w:szCs w:val="20"/>
              </w:rPr>
              <w:t>C</w:t>
            </w:r>
            <w:r>
              <w:rPr>
                <w:rFonts w:eastAsia="仿宋"/>
                <w:i/>
                <w:sz w:val="20"/>
                <w:szCs w:val="20"/>
                <w:vertAlign w:val="subscript"/>
              </w:rPr>
              <w:t>i</w:t>
            </w:r>
            <w:r>
              <w:rPr>
                <w:rFonts w:eastAsia="仿宋_GB2312"/>
                <w:sz w:val="20"/>
                <w:szCs w:val="20"/>
              </w:rPr>
              <w:t>≤</w:t>
            </w:r>
            <w:r>
              <w:rPr>
                <w:rFonts w:eastAsia="仿宋"/>
                <w:i/>
                <w:sz w:val="20"/>
                <w:szCs w:val="20"/>
              </w:rPr>
              <w:t>G</w:t>
            </w:r>
            <w:r>
              <w:rPr>
                <w:rFonts w:eastAsia="仿宋"/>
                <w:i/>
                <w:sz w:val="20"/>
                <w:szCs w:val="20"/>
                <w:vertAlign w:val="subscript"/>
              </w:rPr>
              <w:t>i</w:t>
            </w:r>
            <w:proofErr w:type="spellEnd"/>
          </w:p>
        </w:tc>
        <w:tc>
          <w:tcPr>
            <w:tcW w:w="1843" w:type="dxa"/>
            <w:tcBorders>
              <w:top w:val="nil"/>
              <w:left w:val="nil"/>
              <w:bottom w:val="single" w:sz="4" w:space="0" w:color="auto"/>
              <w:right w:val="single" w:sz="4" w:space="0" w:color="auto"/>
            </w:tcBorders>
            <w:shd w:val="clear" w:color="auto" w:fill="auto"/>
            <w:noWrap/>
            <w:vAlign w:val="center"/>
          </w:tcPr>
          <w:p w14:paraId="62CE13A3" w14:textId="77777777" w:rsidR="00B752A8" w:rsidRDefault="00C46237">
            <w:pPr>
              <w:spacing w:line="276" w:lineRule="auto"/>
              <w:jc w:val="center"/>
              <w:rPr>
                <w:kern w:val="0"/>
                <w:sz w:val="20"/>
                <w:szCs w:val="20"/>
              </w:rPr>
            </w:pPr>
            <w:proofErr w:type="spellStart"/>
            <w:r>
              <w:rPr>
                <w:bCs/>
                <w:i/>
                <w:kern w:val="0"/>
                <w:sz w:val="20"/>
                <w:szCs w:val="20"/>
              </w:rPr>
              <w:t>E</w:t>
            </w:r>
            <w:r>
              <w:rPr>
                <w:bCs/>
                <w:i/>
                <w:kern w:val="0"/>
                <w:sz w:val="20"/>
                <w:szCs w:val="20"/>
                <w:vertAlign w:val="subscript"/>
              </w:rPr>
              <w:t>i</w:t>
            </w:r>
            <w:r>
              <w:rPr>
                <w:rFonts w:eastAsia="仿宋_GB2312"/>
                <w:sz w:val="20"/>
                <w:szCs w:val="20"/>
              </w:rPr>
              <w:t>≤</w:t>
            </w:r>
            <w:r>
              <w:rPr>
                <w:i/>
                <w:kern w:val="0"/>
                <w:sz w:val="20"/>
                <w:szCs w:val="20"/>
              </w:rPr>
              <w:t>P</w:t>
            </w:r>
            <w:r>
              <w:rPr>
                <w:i/>
                <w:kern w:val="0"/>
                <w:sz w:val="20"/>
                <w:szCs w:val="20"/>
                <w:vertAlign w:val="subscript"/>
              </w:rPr>
              <w:t>i</w:t>
            </w:r>
            <w:proofErr w:type="spellEnd"/>
          </w:p>
        </w:tc>
        <w:tc>
          <w:tcPr>
            <w:tcW w:w="1324" w:type="dxa"/>
            <w:tcBorders>
              <w:top w:val="nil"/>
              <w:left w:val="single" w:sz="4" w:space="0" w:color="auto"/>
              <w:bottom w:val="single" w:sz="4" w:space="0" w:color="auto"/>
              <w:right w:val="single" w:sz="4" w:space="0" w:color="auto"/>
            </w:tcBorders>
            <w:shd w:val="clear" w:color="auto" w:fill="auto"/>
            <w:noWrap/>
            <w:vAlign w:val="center"/>
          </w:tcPr>
          <w:p w14:paraId="16D4388C" w14:textId="77777777" w:rsidR="00B752A8" w:rsidRDefault="00C46237">
            <w:pPr>
              <w:spacing w:line="276" w:lineRule="auto"/>
              <w:jc w:val="center"/>
              <w:rPr>
                <w:rFonts w:cs="Arial Unicode MS"/>
                <w:kern w:val="0"/>
                <w:sz w:val="20"/>
                <w:szCs w:val="20"/>
              </w:rPr>
            </w:pPr>
            <w:r>
              <w:rPr>
                <w:rFonts w:cs="Arial Unicode MS" w:hint="eastAsia"/>
                <w:kern w:val="0"/>
                <w:sz w:val="20"/>
                <w:szCs w:val="20"/>
              </w:rPr>
              <w:t>低风险</w:t>
            </w:r>
          </w:p>
        </w:tc>
        <w:tc>
          <w:tcPr>
            <w:tcW w:w="3290" w:type="dxa"/>
            <w:tcBorders>
              <w:top w:val="nil"/>
              <w:left w:val="single" w:sz="4" w:space="0" w:color="auto"/>
              <w:bottom w:val="single" w:sz="4" w:space="0" w:color="auto"/>
              <w:right w:val="single" w:sz="4" w:space="0" w:color="auto"/>
            </w:tcBorders>
            <w:vAlign w:val="center"/>
          </w:tcPr>
          <w:p w14:paraId="668A0EA6" w14:textId="77777777" w:rsidR="00B752A8" w:rsidRDefault="00C46237">
            <w:pPr>
              <w:spacing w:line="276" w:lineRule="auto"/>
              <w:jc w:val="left"/>
              <w:rPr>
                <w:rFonts w:cs="Arial Unicode MS"/>
                <w:kern w:val="0"/>
                <w:sz w:val="20"/>
                <w:szCs w:val="20"/>
              </w:rPr>
            </w:pPr>
            <w:r>
              <w:rPr>
                <w:rFonts w:cs="宋体" w:hint="eastAsia"/>
                <w:kern w:val="0"/>
                <w:sz w:val="20"/>
                <w:szCs w:val="20"/>
              </w:rPr>
              <w:t>土壤重金属含量在筛选值和管制值之间，但农产品未超标，</w:t>
            </w:r>
            <w:r>
              <w:rPr>
                <w:rFonts w:cs="Arial Unicode MS" w:hint="eastAsia"/>
                <w:kern w:val="0"/>
                <w:sz w:val="20"/>
                <w:szCs w:val="20"/>
              </w:rPr>
              <w:t>提示</w:t>
            </w:r>
            <w:r>
              <w:rPr>
                <w:rFonts w:cs="宋体" w:hint="eastAsia"/>
                <w:kern w:val="0"/>
                <w:sz w:val="20"/>
                <w:szCs w:val="20"/>
              </w:rPr>
              <w:t>生产环境对农产品安全存在一定潜在风险</w:t>
            </w:r>
          </w:p>
        </w:tc>
      </w:tr>
      <w:tr w:rsidR="00B752A8" w14:paraId="5B4F8720" w14:textId="77777777">
        <w:trPr>
          <w:trHeight w:val="422"/>
        </w:trPr>
        <w:tc>
          <w:tcPr>
            <w:tcW w:w="699" w:type="dxa"/>
            <w:tcBorders>
              <w:top w:val="nil"/>
              <w:left w:val="single" w:sz="8" w:space="0" w:color="auto"/>
              <w:bottom w:val="single" w:sz="4" w:space="0" w:color="auto"/>
              <w:right w:val="single" w:sz="4" w:space="0" w:color="auto"/>
            </w:tcBorders>
            <w:shd w:val="clear" w:color="auto" w:fill="auto"/>
            <w:noWrap/>
            <w:vAlign w:val="center"/>
          </w:tcPr>
          <w:p w14:paraId="7792EE42" w14:textId="77777777" w:rsidR="00B752A8" w:rsidRDefault="00C46237">
            <w:pPr>
              <w:spacing w:line="276" w:lineRule="auto"/>
              <w:jc w:val="center"/>
              <w:rPr>
                <w:rFonts w:cs="Arial Unicode MS"/>
                <w:kern w:val="0"/>
                <w:sz w:val="20"/>
                <w:szCs w:val="20"/>
                <w:vertAlign w:val="subscript"/>
              </w:rPr>
            </w:pPr>
            <w:r>
              <w:rPr>
                <w:rFonts w:cs="Arial Unicode MS" w:hint="eastAsia"/>
                <w:kern w:val="0"/>
                <w:sz w:val="20"/>
                <w:szCs w:val="20"/>
              </w:rPr>
              <w:t>II</w:t>
            </w:r>
            <w:r>
              <w:rPr>
                <w:rFonts w:cs="Arial Unicode MS"/>
                <w:kern w:val="0"/>
                <w:sz w:val="20"/>
                <w:szCs w:val="20"/>
                <w:vertAlign w:val="subscript"/>
              </w:rPr>
              <w:t>1</w:t>
            </w:r>
          </w:p>
        </w:tc>
        <w:tc>
          <w:tcPr>
            <w:tcW w:w="1258" w:type="dxa"/>
            <w:tcBorders>
              <w:top w:val="nil"/>
              <w:left w:val="nil"/>
              <w:bottom w:val="single" w:sz="4" w:space="0" w:color="auto"/>
              <w:right w:val="single" w:sz="4" w:space="0" w:color="auto"/>
            </w:tcBorders>
            <w:shd w:val="clear" w:color="auto" w:fill="auto"/>
            <w:noWrap/>
            <w:vAlign w:val="center"/>
          </w:tcPr>
          <w:p w14:paraId="5ACB51C9" w14:textId="77777777" w:rsidR="00B752A8" w:rsidRDefault="00C46237">
            <w:pPr>
              <w:spacing w:line="276" w:lineRule="auto"/>
              <w:jc w:val="center"/>
              <w:rPr>
                <w:rFonts w:eastAsia="仿宋"/>
                <w:i/>
                <w:sz w:val="20"/>
                <w:szCs w:val="20"/>
              </w:rPr>
            </w:pPr>
            <w:proofErr w:type="spellStart"/>
            <w:r>
              <w:rPr>
                <w:rFonts w:eastAsia="仿宋"/>
                <w:i/>
                <w:sz w:val="20"/>
                <w:szCs w:val="20"/>
              </w:rPr>
              <w:t>C</w:t>
            </w:r>
            <w:r>
              <w:rPr>
                <w:rFonts w:eastAsia="仿宋"/>
                <w:i/>
                <w:sz w:val="20"/>
                <w:szCs w:val="20"/>
                <w:vertAlign w:val="subscript"/>
              </w:rPr>
              <w:t>i</w:t>
            </w:r>
            <w:r>
              <w:rPr>
                <w:rFonts w:eastAsia="仿宋_GB2312"/>
                <w:sz w:val="20"/>
                <w:szCs w:val="20"/>
              </w:rPr>
              <w:t>≤</w:t>
            </w:r>
            <w:r>
              <w:rPr>
                <w:rFonts w:eastAsia="仿宋"/>
                <w:i/>
                <w:sz w:val="20"/>
                <w:szCs w:val="20"/>
              </w:rPr>
              <w:t>S</w:t>
            </w:r>
            <w:r>
              <w:rPr>
                <w:rFonts w:eastAsia="仿宋"/>
                <w:i/>
                <w:sz w:val="20"/>
                <w:szCs w:val="20"/>
                <w:vertAlign w:val="subscript"/>
              </w:rPr>
              <w:t>i</w:t>
            </w:r>
            <w:proofErr w:type="spellEnd"/>
          </w:p>
        </w:tc>
        <w:tc>
          <w:tcPr>
            <w:tcW w:w="1843" w:type="dxa"/>
            <w:tcBorders>
              <w:top w:val="nil"/>
              <w:left w:val="nil"/>
              <w:bottom w:val="single" w:sz="4" w:space="0" w:color="auto"/>
              <w:right w:val="single" w:sz="4" w:space="0" w:color="auto"/>
            </w:tcBorders>
            <w:shd w:val="clear" w:color="auto" w:fill="auto"/>
            <w:noWrap/>
            <w:vAlign w:val="center"/>
          </w:tcPr>
          <w:p w14:paraId="450D76F1" w14:textId="77777777" w:rsidR="00B752A8" w:rsidRDefault="00C46237">
            <w:pPr>
              <w:spacing w:line="276" w:lineRule="auto"/>
              <w:jc w:val="center"/>
              <w:rPr>
                <w:bCs/>
                <w:i/>
                <w:kern w:val="0"/>
                <w:sz w:val="20"/>
                <w:szCs w:val="20"/>
              </w:rPr>
            </w:pPr>
            <w:proofErr w:type="spellStart"/>
            <w:r>
              <w:rPr>
                <w:bCs/>
                <w:i/>
                <w:kern w:val="0"/>
                <w:sz w:val="20"/>
                <w:szCs w:val="20"/>
              </w:rPr>
              <w:t>E</w:t>
            </w:r>
            <w:r>
              <w:rPr>
                <w:bCs/>
                <w:i/>
                <w:kern w:val="0"/>
                <w:sz w:val="20"/>
                <w:szCs w:val="20"/>
                <w:vertAlign w:val="subscript"/>
              </w:rPr>
              <w:t>i</w:t>
            </w:r>
            <w:r>
              <w:rPr>
                <w:rFonts w:eastAsia="仿宋_GB2312"/>
                <w:sz w:val="20"/>
                <w:szCs w:val="20"/>
              </w:rPr>
              <w:t>≥</w:t>
            </w:r>
            <w:r>
              <w:rPr>
                <w:i/>
                <w:kern w:val="0"/>
                <w:sz w:val="20"/>
                <w:szCs w:val="20"/>
              </w:rPr>
              <w:t>P</w:t>
            </w:r>
            <w:r>
              <w:rPr>
                <w:i/>
                <w:kern w:val="0"/>
                <w:sz w:val="20"/>
                <w:szCs w:val="20"/>
                <w:vertAlign w:val="subscript"/>
              </w:rPr>
              <w:t>i</w:t>
            </w:r>
            <w:proofErr w:type="spellEnd"/>
          </w:p>
        </w:tc>
        <w:tc>
          <w:tcPr>
            <w:tcW w:w="1324" w:type="dxa"/>
            <w:vMerge w:val="restart"/>
            <w:tcBorders>
              <w:top w:val="nil"/>
              <w:left w:val="single" w:sz="4" w:space="0" w:color="auto"/>
              <w:right w:val="single" w:sz="4" w:space="0" w:color="auto"/>
            </w:tcBorders>
            <w:shd w:val="clear" w:color="auto" w:fill="auto"/>
            <w:noWrap/>
            <w:vAlign w:val="center"/>
          </w:tcPr>
          <w:p w14:paraId="3098DD1C" w14:textId="77777777" w:rsidR="00B752A8" w:rsidRDefault="00C46237">
            <w:pPr>
              <w:spacing w:line="276" w:lineRule="auto"/>
              <w:jc w:val="center"/>
              <w:rPr>
                <w:rFonts w:cs="Arial Unicode MS"/>
                <w:kern w:val="0"/>
                <w:sz w:val="20"/>
                <w:szCs w:val="20"/>
              </w:rPr>
            </w:pPr>
            <w:r>
              <w:rPr>
                <w:rFonts w:cs="Arial Unicode MS" w:hint="eastAsia"/>
                <w:kern w:val="0"/>
                <w:sz w:val="20"/>
                <w:szCs w:val="20"/>
              </w:rPr>
              <w:t>中风险</w:t>
            </w:r>
          </w:p>
        </w:tc>
        <w:tc>
          <w:tcPr>
            <w:tcW w:w="3290" w:type="dxa"/>
            <w:tcBorders>
              <w:top w:val="nil"/>
              <w:left w:val="single" w:sz="4" w:space="0" w:color="auto"/>
              <w:bottom w:val="single" w:sz="4" w:space="0" w:color="auto"/>
              <w:right w:val="single" w:sz="4" w:space="0" w:color="auto"/>
            </w:tcBorders>
            <w:vAlign w:val="center"/>
          </w:tcPr>
          <w:p w14:paraId="736741AD" w14:textId="77777777" w:rsidR="00B752A8" w:rsidRDefault="00C46237">
            <w:pPr>
              <w:spacing w:line="276" w:lineRule="auto"/>
              <w:jc w:val="left"/>
              <w:rPr>
                <w:rFonts w:cs="宋体"/>
                <w:kern w:val="0"/>
                <w:sz w:val="20"/>
                <w:szCs w:val="20"/>
              </w:rPr>
            </w:pPr>
            <w:r>
              <w:rPr>
                <w:rFonts w:cs="宋体" w:hint="eastAsia"/>
                <w:kern w:val="0"/>
                <w:sz w:val="20"/>
                <w:szCs w:val="20"/>
              </w:rPr>
              <w:t>土壤重金属含量未超过筛选值，但农产品超标，表明生产环境对农产品安全已造成一定危害</w:t>
            </w:r>
          </w:p>
        </w:tc>
      </w:tr>
      <w:tr w:rsidR="00B752A8" w14:paraId="0B59CD7F" w14:textId="77777777">
        <w:trPr>
          <w:trHeight w:val="422"/>
        </w:trPr>
        <w:tc>
          <w:tcPr>
            <w:tcW w:w="699" w:type="dxa"/>
            <w:tcBorders>
              <w:top w:val="single" w:sz="4" w:space="0" w:color="auto"/>
              <w:left w:val="single" w:sz="8" w:space="0" w:color="auto"/>
              <w:bottom w:val="single" w:sz="4" w:space="0" w:color="000000"/>
              <w:right w:val="single" w:sz="4" w:space="0" w:color="auto"/>
            </w:tcBorders>
            <w:vAlign w:val="center"/>
          </w:tcPr>
          <w:p w14:paraId="14FFCB71" w14:textId="77777777" w:rsidR="00B752A8" w:rsidRDefault="00C46237">
            <w:pPr>
              <w:spacing w:line="276" w:lineRule="auto"/>
              <w:jc w:val="center"/>
              <w:rPr>
                <w:rFonts w:cs="Arial Unicode MS"/>
                <w:kern w:val="0"/>
                <w:sz w:val="20"/>
                <w:szCs w:val="20"/>
                <w:vertAlign w:val="subscript"/>
              </w:rPr>
            </w:pPr>
            <w:r>
              <w:rPr>
                <w:rFonts w:cs="Arial Unicode MS" w:hint="eastAsia"/>
                <w:kern w:val="0"/>
                <w:sz w:val="20"/>
                <w:szCs w:val="20"/>
              </w:rPr>
              <w:t>II</w:t>
            </w:r>
            <w:r>
              <w:rPr>
                <w:rFonts w:cs="Arial Unicode MS"/>
                <w:kern w:val="0"/>
                <w:sz w:val="20"/>
                <w:szCs w:val="20"/>
                <w:vertAlign w:val="subscript"/>
              </w:rPr>
              <w:t>2</w:t>
            </w:r>
          </w:p>
        </w:tc>
        <w:tc>
          <w:tcPr>
            <w:tcW w:w="1258" w:type="dxa"/>
            <w:tcBorders>
              <w:top w:val="single" w:sz="4" w:space="0" w:color="auto"/>
              <w:left w:val="nil"/>
              <w:bottom w:val="single" w:sz="4" w:space="0" w:color="auto"/>
              <w:right w:val="single" w:sz="4" w:space="0" w:color="auto"/>
            </w:tcBorders>
            <w:shd w:val="clear" w:color="auto" w:fill="auto"/>
            <w:noWrap/>
            <w:vAlign w:val="center"/>
          </w:tcPr>
          <w:p w14:paraId="342C6859" w14:textId="77777777" w:rsidR="00B752A8" w:rsidRDefault="00C46237">
            <w:pPr>
              <w:spacing w:line="276" w:lineRule="auto"/>
              <w:jc w:val="center"/>
              <w:rPr>
                <w:kern w:val="0"/>
                <w:sz w:val="20"/>
                <w:szCs w:val="20"/>
              </w:rPr>
            </w:pPr>
            <w:r>
              <w:rPr>
                <w:rFonts w:eastAsia="仿宋"/>
                <w:i/>
                <w:sz w:val="20"/>
                <w:szCs w:val="20"/>
              </w:rPr>
              <w:t>S</w:t>
            </w:r>
            <w:r>
              <w:rPr>
                <w:rFonts w:eastAsia="仿宋"/>
                <w:i/>
                <w:sz w:val="20"/>
                <w:szCs w:val="20"/>
                <w:vertAlign w:val="subscript"/>
              </w:rPr>
              <w:t>i</w:t>
            </w:r>
            <w:r>
              <w:rPr>
                <w:rFonts w:eastAsia="仿宋_GB2312"/>
                <w:color w:val="000000"/>
                <w:sz w:val="20"/>
                <w:szCs w:val="20"/>
              </w:rPr>
              <w:t>&lt;</w:t>
            </w:r>
            <w:proofErr w:type="spellStart"/>
            <w:r>
              <w:rPr>
                <w:rFonts w:eastAsia="仿宋"/>
                <w:i/>
                <w:sz w:val="20"/>
                <w:szCs w:val="20"/>
              </w:rPr>
              <w:t>C</w:t>
            </w:r>
            <w:r>
              <w:rPr>
                <w:rFonts w:eastAsia="仿宋"/>
                <w:i/>
                <w:sz w:val="20"/>
                <w:szCs w:val="20"/>
                <w:vertAlign w:val="subscript"/>
              </w:rPr>
              <w:t>i</w:t>
            </w:r>
            <w:r>
              <w:rPr>
                <w:rFonts w:eastAsia="仿宋_GB2312"/>
                <w:sz w:val="20"/>
                <w:szCs w:val="20"/>
              </w:rPr>
              <w:t>≤</w:t>
            </w:r>
            <w:r>
              <w:rPr>
                <w:rFonts w:eastAsia="仿宋"/>
                <w:i/>
                <w:sz w:val="20"/>
                <w:szCs w:val="20"/>
              </w:rPr>
              <w:t>G</w:t>
            </w:r>
            <w:r>
              <w:rPr>
                <w:rFonts w:eastAsia="仿宋"/>
                <w:i/>
                <w:sz w:val="20"/>
                <w:szCs w:val="20"/>
                <w:vertAlign w:val="subscript"/>
              </w:rPr>
              <w:t>i</w:t>
            </w:r>
            <w:proofErr w:type="spellEnd"/>
          </w:p>
        </w:tc>
        <w:tc>
          <w:tcPr>
            <w:tcW w:w="1843" w:type="dxa"/>
            <w:tcBorders>
              <w:top w:val="nil"/>
              <w:left w:val="nil"/>
              <w:bottom w:val="single" w:sz="4" w:space="0" w:color="auto"/>
              <w:right w:val="single" w:sz="4" w:space="0" w:color="auto"/>
            </w:tcBorders>
            <w:shd w:val="clear" w:color="auto" w:fill="auto"/>
            <w:noWrap/>
            <w:vAlign w:val="center"/>
          </w:tcPr>
          <w:p w14:paraId="26ABDDF3" w14:textId="77777777" w:rsidR="00B752A8" w:rsidRDefault="00C46237">
            <w:pPr>
              <w:spacing w:line="276" w:lineRule="auto"/>
              <w:jc w:val="center"/>
              <w:rPr>
                <w:kern w:val="0"/>
                <w:sz w:val="20"/>
                <w:szCs w:val="20"/>
              </w:rPr>
            </w:pPr>
            <w:proofErr w:type="spellStart"/>
            <w:r>
              <w:rPr>
                <w:bCs/>
                <w:i/>
                <w:kern w:val="0"/>
                <w:sz w:val="20"/>
                <w:szCs w:val="20"/>
              </w:rPr>
              <w:t>E</w:t>
            </w:r>
            <w:r>
              <w:rPr>
                <w:bCs/>
                <w:i/>
                <w:kern w:val="0"/>
                <w:sz w:val="20"/>
                <w:szCs w:val="20"/>
                <w:vertAlign w:val="subscript"/>
              </w:rPr>
              <w:t>i</w:t>
            </w:r>
            <w:r>
              <w:rPr>
                <w:rFonts w:eastAsia="仿宋_GB2312"/>
                <w:sz w:val="20"/>
                <w:szCs w:val="20"/>
              </w:rPr>
              <w:t>≥</w:t>
            </w:r>
            <w:r>
              <w:rPr>
                <w:i/>
                <w:kern w:val="0"/>
                <w:sz w:val="20"/>
                <w:szCs w:val="20"/>
              </w:rPr>
              <w:t>P</w:t>
            </w:r>
            <w:r>
              <w:rPr>
                <w:i/>
                <w:kern w:val="0"/>
                <w:sz w:val="20"/>
                <w:szCs w:val="20"/>
                <w:vertAlign w:val="subscript"/>
              </w:rPr>
              <w:t>i</w:t>
            </w:r>
            <w:proofErr w:type="spellEnd"/>
          </w:p>
        </w:tc>
        <w:tc>
          <w:tcPr>
            <w:tcW w:w="1324" w:type="dxa"/>
            <w:vMerge/>
            <w:tcBorders>
              <w:left w:val="single" w:sz="4" w:space="0" w:color="auto"/>
              <w:right w:val="single" w:sz="4" w:space="0" w:color="auto"/>
            </w:tcBorders>
            <w:vAlign w:val="center"/>
          </w:tcPr>
          <w:p w14:paraId="2A6E6EEC" w14:textId="77777777" w:rsidR="00B752A8" w:rsidRDefault="00B752A8">
            <w:pPr>
              <w:spacing w:line="276" w:lineRule="auto"/>
              <w:jc w:val="center"/>
              <w:rPr>
                <w:rFonts w:cs="Arial Unicode MS"/>
                <w:kern w:val="0"/>
                <w:sz w:val="20"/>
                <w:szCs w:val="20"/>
              </w:rPr>
            </w:pPr>
          </w:p>
        </w:tc>
        <w:tc>
          <w:tcPr>
            <w:tcW w:w="3290" w:type="dxa"/>
            <w:tcBorders>
              <w:top w:val="single" w:sz="4" w:space="0" w:color="auto"/>
              <w:left w:val="single" w:sz="4" w:space="0" w:color="auto"/>
              <w:bottom w:val="single" w:sz="4" w:space="0" w:color="000000"/>
              <w:right w:val="single" w:sz="4" w:space="0" w:color="auto"/>
            </w:tcBorders>
            <w:vAlign w:val="center"/>
          </w:tcPr>
          <w:p w14:paraId="69A21DB0" w14:textId="77777777" w:rsidR="00B752A8" w:rsidRDefault="00C46237">
            <w:pPr>
              <w:spacing w:line="276" w:lineRule="auto"/>
              <w:jc w:val="left"/>
              <w:rPr>
                <w:rFonts w:cs="Arial Unicode MS"/>
                <w:kern w:val="0"/>
                <w:sz w:val="20"/>
                <w:szCs w:val="20"/>
              </w:rPr>
            </w:pPr>
            <w:r>
              <w:rPr>
                <w:rFonts w:cs="宋体" w:hint="eastAsia"/>
                <w:kern w:val="0"/>
                <w:sz w:val="20"/>
                <w:szCs w:val="20"/>
              </w:rPr>
              <w:t>土壤重金属含量在筛选值和管制值之间，且农产品超标，表明生产环境对农产品安全已构成一定危害</w:t>
            </w:r>
          </w:p>
        </w:tc>
      </w:tr>
      <w:tr w:rsidR="00B752A8" w14:paraId="3BD313C4" w14:textId="77777777">
        <w:trPr>
          <w:trHeight w:val="422"/>
        </w:trPr>
        <w:tc>
          <w:tcPr>
            <w:tcW w:w="699" w:type="dxa"/>
            <w:tcBorders>
              <w:top w:val="nil"/>
              <w:left w:val="single" w:sz="8" w:space="0" w:color="auto"/>
              <w:bottom w:val="single" w:sz="4" w:space="0" w:color="auto"/>
              <w:right w:val="single" w:sz="4" w:space="0" w:color="auto"/>
            </w:tcBorders>
            <w:shd w:val="clear" w:color="auto" w:fill="auto"/>
            <w:noWrap/>
            <w:vAlign w:val="center"/>
          </w:tcPr>
          <w:p w14:paraId="0F2D2B79" w14:textId="77777777" w:rsidR="00B752A8" w:rsidRDefault="00C46237">
            <w:pPr>
              <w:spacing w:line="276" w:lineRule="auto"/>
              <w:jc w:val="center"/>
              <w:rPr>
                <w:rFonts w:cs="Arial Unicode MS"/>
                <w:kern w:val="0"/>
                <w:sz w:val="20"/>
                <w:szCs w:val="20"/>
                <w:vertAlign w:val="subscript"/>
              </w:rPr>
            </w:pPr>
            <w:r>
              <w:rPr>
                <w:rFonts w:cs="Arial Unicode MS" w:hint="eastAsia"/>
                <w:kern w:val="0"/>
                <w:sz w:val="20"/>
                <w:szCs w:val="20"/>
              </w:rPr>
              <w:t>II</w:t>
            </w:r>
            <w:r>
              <w:rPr>
                <w:rFonts w:cs="Arial Unicode MS"/>
                <w:kern w:val="0"/>
                <w:sz w:val="20"/>
                <w:szCs w:val="20"/>
                <w:vertAlign w:val="subscript"/>
              </w:rPr>
              <w:t>3</w:t>
            </w:r>
          </w:p>
        </w:tc>
        <w:tc>
          <w:tcPr>
            <w:tcW w:w="1258" w:type="dxa"/>
            <w:tcBorders>
              <w:top w:val="nil"/>
              <w:left w:val="nil"/>
              <w:bottom w:val="single" w:sz="4" w:space="0" w:color="auto"/>
              <w:right w:val="single" w:sz="4" w:space="0" w:color="auto"/>
            </w:tcBorders>
            <w:shd w:val="clear" w:color="auto" w:fill="auto"/>
            <w:noWrap/>
            <w:vAlign w:val="center"/>
          </w:tcPr>
          <w:p w14:paraId="52E98C7C" w14:textId="77777777" w:rsidR="00B752A8" w:rsidRDefault="00C46237">
            <w:pPr>
              <w:spacing w:line="276" w:lineRule="auto"/>
              <w:jc w:val="center"/>
              <w:rPr>
                <w:kern w:val="0"/>
                <w:sz w:val="20"/>
                <w:szCs w:val="20"/>
              </w:rPr>
            </w:pPr>
            <w:proofErr w:type="spellStart"/>
            <w:r>
              <w:rPr>
                <w:rFonts w:eastAsia="仿宋"/>
                <w:i/>
                <w:sz w:val="20"/>
                <w:szCs w:val="20"/>
              </w:rPr>
              <w:t>C</w:t>
            </w:r>
            <w:r>
              <w:rPr>
                <w:rFonts w:eastAsia="仿宋"/>
                <w:i/>
                <w:sz w:val="20"/>
                <w:szCs w:val="20"/>
                <w:vertAlign w:val="subscript"/>
              </w:rPr>
              <w:t>i</w:t>
            </w:r>
            <w:r>
              <w:rPr>
                <w:rFonts w:eastAsia="仿宋_GB2312"/>
                <w:sz w:val="20"/>
                <w:szCs w:val="20"/>
              </w:rPr>
              <w:t>≥</w:t>
            </w:r>
            <w:r>
              <w:rPr>
                <w:rFonts w:eastAsia="仿宋"/>
                <w:i/>
                <w:sz w:val="20"/>
                <w:szCs w:val="20"/>
              </w:rPr>
              <w:t>G</w:t>
            </w:r>
            <w:r>
              <w:rPr>
                <w:rFonts w:eastAsia="仿宋"/>
                <w:i/>
                <w:sz w:val="20"/>
                <w:szCs w:val="20"/>
                <w:vertAlign w:val="subscript"/>
              </w:rPr>
              <w:t>i</w:t>
            </w:r>
            <w:proofErr w:type="spellEnd"/>
          </w:p>
        </w:tc>
        <w:tc>
          <w:tcPr>
            <w:tcW w:w="1843" w:type="dxa"/>
            <w:tcBorders>
              <w:top w:val="nil"/>
              <w:left w:val="nil"/>
              <w:bottom w:val="single" w:sz="4" w:space="0" w:color="auto"/>
              <w:right w:val="single" w:sz="4" w:space="0" w:color="auto"/>
            </w:tcBorders>
            <w:shd w:val="clear" w:color="auto" w:fill="auto"/>
            <w:noWrap/>
            <w:vAlign w:val="center"/>
          </w:tcPr>
          <w:p w14:paraId="64BF4E7B" w14:textId="77777777" w:rsidR="00B752A8" w:rsidRDefault="00C46237">
            <w:pPr>
              <w:spacing w:line="276" w:lineRule="auto"/>
              <w:jc w:val="center"/>
              <w:rPr>
                <w:kern w:val="0"/>
                <w:sz w:val="20"/>
                <w:szCs w:val="20"/>
              </w:rPr>
            </w:pPr>
            <w:proofErr w:type="spellStart"/>
            <w:r>
              <w:rPr>
                <w:bCs/>
                <w:i/>
                <w:kern w:val="0"/>
                <w:sz w:val="20"/>
                <w:szCs w:val="20"/>
              </w:rPr>
              <w:t>E</w:t>
            </w:r>
            <w:r>
              <w:rPr>
                <w:bCs/>
                <w:i/>
                <w:kern w:val="0"/>
                <w:sz w:val="20"/>
                <w:szCs w:val="20"/>
                <w:vertAlign w:val="subscript"/>
              </w:rPr>
              <w:t>i</w:t>
            </w:r>
            <w:r>
              <w:rPr>
                <w:rFonts w:eastAsia="仿宋_GB2312"/>
                <w:sz w:val="20"/>
                <w:szCs w:val="20"/>
              </w:rPr>
              <w:t>≤</w:t>
            </w:r>
            <w:r>
              <w:rPr>
                <w:i/>
                <w:kern w:val="0"/>
                <w:sz w:val="20"/>
                <w:szCs w:val="20"/>
              </w:rPr>
              <w:t>P</w:t>
            </w:r>
            <w:r>
              <w:rPr>
                <w:i/>
                <w:kern w:val="0"/>
                <w:sz w:val="20"/>
                <w:szCs w:val="20"/>
                <w:vertAlign w:val="subscript"/>
              </w:rPr>
              <w:t>i</w:t>
            </w:r>
            <w:proofErr w:type="spellEnd"/>
          </w:p>
        </w:tc>
        <w:tc>
          <w:tcPr>
            <w:tcW w:w="1324" w:type="dxa"/>
            <w:vMerge/>
            <w:tcBorders>
              <w:left w:val="single" w:sz="4" w:space="0" w:color="auto"/>
              <w:bottom w:val="single" w:sz="4" w:space="0" w:color="auto"/>
              <w:right w:val="single" w:sz="4" w:space="0" w:color="auto"/>
            </w:tcBorders>
            <w:shd w:val="clear" w:color="auto" w:fill="auto"/>
            <w:noWrap/>
            <w:vAlign w:val="center"/>
          </w:tcPr>
          <w:p w14:paraId="1A32B1EF" w14:textId="77777777" w:rsidR="00B752A8" w:rsidRDefault="00B752A8">
            <w:pPr>
              <w:spacing w:line="276" w:lineRule="auto"/>
              <w:jc w:val="center"/>
              <w:rPr>
                <w:rFonts w:cs="Arial Unicode MS"/>
                <w:kern w:val="0"/>
                <w:sz w:val="20"/>
                <w:szCs w:val="20"/>
              </w:rPr>
            </w:pPr>
          </w:p>
        </w:tc>
        <w:tc>
          <w:tcPr>
            <w:tcW w:w="3290" w:type="dxa"/>
            <w:tcBorders>
              <w:top w:val="nil"/>
              <w:left w:val="single" w:sz="4" w:space="0" w:color="auto"/>
              <w:bottom w:val="single" w:sz="4" w:space="0" w:color="auto"/>
              <w:right w:val="single" w:sz="4" w:space="0" w:color="auto"/>
            </w:tcBorders>
            <w:vAlign w:val="center"/>
          </w:tcPr>
          <w:p w14:paraId="25E0CADC" w14:textId="77777777" w:rsidR="00B752A8" w:rsidRDefault="00C46237">
            <w:pPr>
              <w:spacing w:line="276" w:lineRule="auto"/>
              <w:jc w:val="left"/>
              <w:rPr>
                <w:rFonts w:cs="Arial Unicode MS"/>
                <w:kern w:val="0"/>
                <w:sz w:val="20"/>
                <w:szCs w:val="20"/>
              </w:rPr>
            </w:pPr>
            <w:r>
              <w:rPr>
                <w:rFonts w:cs="宋体" w:hint="eastAsia"/>
                <w:kern w:val="0"/>
                <w:sz w:val="20"/>
                <w:szCs w:val="20"/>
              </w:rPr>
              <w:t>土壤重金属含量超过管制值，虽然农产品尚未超标，但生产环境对食用农产品有较大潜在风险</w:t>
            </w:r>
          </w:p>
        </w:tc>
      </w:tr>
      <w:tr w:rsidR="00B752A8" w14:paraId="1A340457" w14:textId="77777777">
        <w:trPr>
          <w:trHeight w:val="422"/>
        </w:trPr>
        <w:tc>
          <w:tcPr>
            <w:tcW w:w="699" w:type="dxa"/>
            <w:tcBorders>
              <w:top w:val="single" w:sz="4" w:space="0" w:color="auto"/>
              <w:left w:val="single" w:sz="8" w:space="0" w:color="auto"/>
              <w:bottom w:val="single" w:sz="8" w:space="0" w:color="auto"/>
              <w:right w:val="single" w:sz="4" w:space="0" w:color="auto"/>
            </w:tcBorders>
            <w:vAlign w:val="center"/>
          </w:tcPr>
          <w:p w14:paraId="2BAA28BC" w14:textId="77777777" w:rsidR="00B752A8" w:rsidRDefault="00C46237">
            <w:pPr>
              <w:spacing w:line="276" w:lineRule="auto"/>
              <w:jc w:val="center"/>
              <w:rPr>
                <w:rFonts w:cs="Arial Unicode MS"/>
                <w:kern w:val="0"/>
                <w:sz w:val="20"/>
                <w:szCs w:val="20"/>
              </w:rPr>
            </w:pPr>
            <w:r>
              <w:rPr>
                <w:rFonts w:cs="Arial Unicode MS" w:hint="eastAsia"/>
                <w:kern w:val="0"/>
                <w:sz w:val="20"/>
                <w:szCs w:val="20"/>
              </w:rPr>
              <w:t>III</w:t>
            </w:r>
          </w:p>
        </w:tc>
        <w:tc>
          <w:tcPr>
            <w:tcW w:w="1258" w:type="dxa"/>
            <w:tcBorders>
              <w:top w:val="single" w:sz="4" w:space="0" w:color="auto"/>
              <w:left w:val="nil"/>
              <w:bottom w:val="single" w:sz="8" w:space="0" w:color="auto"/>
              <w:right w:val="single" w:sz="4" w:space="0" w:color="auto"/>
            </w:tcBorders>
            <w:shd w:val="clear" w:color="auto" w:fill="auto"/>
            <w:noWrap/>
            <w:vAlign w:val="center"/>
          </w:tcPr>
          <w:p w14:paraId="39E988AB" w14:textId="77777777" w:rsidR="00B752A8" w:rsidRDefault="00C46237">
            <w:pPr>
              <w:spacing w:line="276" w:lineRule="auto"/>
              <w:jc w:val="center"/>
              <w:rPr>
                <w:kern w:val="0"/>
                <w:sz w:val="20"/>
                <w:szCs w:val="20"/>
              </w:rPr>
            </w:pPr>
            <w:proofErr w:type="spellStart"/>
            <w:r>
              <w:rPr>
                <w:rFonts w:eastAsia="仿宋"/>
                <w:i/>
                <w:sz w:val="20"/>
                <w:szCs w:val="20"/>
              </w:rPr>
              <w:t>C</w:t>
            </w:r>
            <w:r>
              <w:rPr>
                <w:rFonts w:eastAsia="仿宋"/>
                <w:i/>
                <w:sz w:val="20"/>
                <w:szCs w:val="20"/>
                <w:vertAlign w:val="subscript"/>
              </w:rPr>
              <w:t>i</w:t>
            </w:r>
            <w:r>
              <w:rPr>
                <w:rFonts w:eastAsia="仿宋_GB2312"/>
                <w:sz w:val="20"/>
                <w:szCs w:val="20"/>
              </w:rPr>
              <w:t>≥</w:t>
            </w:r>
            <w:r>
              <w:rPr>
                <w:rFonts w:eastAsia="仿宋"/>
                <w:i/>
                <w:sz w:val="20"/>
                <w:szCs w:val="20"/>
              </w:rPr>
              <w:t>G</w:t>
            </w:r>
            <w:r>
              <w:rPr>
                <w:rFonts w:eastAsia="仿宋"/>
                <w:i/>
                <w:sz w:val="20"/>
                <w:szCs w:val="20"/>
                <w:vertAlign w:val="subscript"/>
              </w:rPr>
              <w:t>i</w:t>
            </w:r>
            <w:proofErr w:type="spellEnd"/>
          </w:p>
        </w:tc>
        <w:tc>
          <w:tcPr>
            <w:tcW w:w="1843" w:type="dxa"/>
            <w:tcBorders>
              <w:top w:val="nil"/>
              <w:left w:val="nil"/>
              <w:bottom w:val="single" w:sz="8" w:space="0" w:color="auto"/>
              <w:right w:val="single" w:sz="4" w:space="0" w:color="auto"/>
            </w:tcBorders>
            <w:shd w:val="clear" w:color="auto" w:fill="auto"/>
            <w:noWrap/>
            <w:vAlign w:val="center"/>
          </w:tcPr>
          <w:p w14:paraId="4F2CCFD4" w14:textId="77777777" w:rsidR="00B752A8" w:rsidRDefault="00C46237">
            <w:pPr>
              <w:spacing w:line="276" w:lineRule="auto"/>
              <w:jc w:val="center"/>
              <w:rPr>
                <w:kern w:val="0"/>
                <w:sz w:val="20"/>
                <w:szCs w:val="20"/>
              </w:rPr>
            </w:pPr>
            <w:proofErr w:type="spellStart"/>
            <w:r>
              <w:rPr>
                <w:bCs/>
                <w:i/>
                <w:kern w:val="0"/>
                <w:sz w:val="20"/>
                <w:szCs w:val="20"/>
              </w:rPr>
              <w:t>E</w:t>
            </w:r>
            <w:r>
              <w:rPr>
                <w:bCs/>
                <w:i/>
                <w:kern w:val="0"/>
                <w:sz w:val="20"/>
                <w:szCs w:val="20"/>
                <w:vertAlign w:val="subscript"/>
              </w:rPr>
              <w:t>i</w:t>
            </w:r>
            <w:r>
              <w:rPr>
                <w:rFonts w:eastAsia="仿宋_GB2312"/>
                <w:sz w:val="20"/>
                <w:szCs w:val="20"/>
              </w:rPr>
              <w:t>≥</w:t>
            </w:r>
            <w:r>
              <w:rPr>
                <w:i/>
                <w:kern w:val="0"/>
                <w:sz w:val="20"/>
                <w:szCs w:val="20"/>
              </w:rPr>
              <w:t>P</w:t>
            </w:r>
            <w:r>
              <w:rPr>
                <w:i/>
                <w:kern w:val="0"/>
                <w:sz w:val="20"/>
                <w:szCs w:val="20"/>
                <w:vertAlign w:val="subscript"/>
              </w:rPr>
              <w:t>i</w:t>
            </w:r>
            <w:proofErr w:type="spellEnd"/>
          </w:p>
        </w:tc>
        <w:tc>
          <w:tcPr>
            <w:tcW w:w="1324" w:type="dxa"/>
            <w:tcBorders>
              <w:top w:val="single" w:sz="4" w:space="0" w:color="auto"/>
              <w:left w:val="single" w:sz="4" w:space="0" w:color="auto"/>
              <w:bottom w:val="single" w:sz="8" w:space="0" w:color="auto"/>
              <w:right w:val="single" w:sz="4" w:space="0" w:color="auto"/>
            </w:tcBorders>
            <w:vAlign w:val="center"/>
          </w:tcPr>
          <w:p w14:paraId="052DCB57" w14:textId="77777777" w:rsidR="00B752A8" w:rsidRDefault="00C46237">
            <w:pPr>
              <w:spacing w:line="276" w:lineRule="auto"/>
              <w:jc w:val="center"/>
              <w:rPr>
                <w:rFonts w:cs="Arial Unicode MS"/>
                <w:kern w:val="0"/>
                <w:sz w:val="20"/>
                <w:szCs w:val="20"/>
              </w:rPr>
            </w:pPr>
            <w:r>
              <w:rPr>
                <w:rFonts w:cs="Arial Unicode MS" w:hint="eastAsia"/>
                <w:kern w:val="0"/>
                <w:sz w:val="20"/>
                <w:szCs w:val="20"/>
              </w:rPr>
              <w:t>高风险</w:t>
            </w:r>
          </w:p>
        </w:tc>
        <w:tc>
          <w:tcPr>
            <w:tcW w:w="3290" w:type="dxa"/>
            <w:tcBorders>
              <w:top w:val="single" w:sz="4" w:space="0" w:color="auto"/>
              <w:left w:val="single" w:sz="4" w:space="0" w:color="auto"/>
              <w:bottom w:val="single" w:sz="8" w:space="0" w:color="auto"/>
              <w:right w:val="single" w:sz="4" w:space="0" w:color="auto"/>
            </w:tcBorders>
            <w:vAlign w:val="center"/>
          </w:tcPr>
          <w:p w14:paraId="48DE7B7B" w14:textId="77777777" w:rsidR="00B752A8" w:rsidRDefault="00C46237">
            <w:pPr>
              <w:spacing w:line="276" w:lineRule="auto"/>
              <w:jc w:val="left"/>
              <w:rPr>
                <w:rFonts w:cs="Arial Unicode MS"/>
                <w:kern w:val="0"/>
                <w:sz w:val="20"/>
                <w:szCs w:val="20"/>
              </w:rPr>
            </w:pPr>
            <w:r>
              <w:rPr>
                <w:rFonts w:cs="宋体" w:hint="eastAsia"/>
                <w:kern w:val="0"/>
                <w:sz w:val="20"/>
                <w:szCs w:val="20"/>
              </w:rPr>
              <w:t>土壤重金属含量超过管制值，农产品超标，表明生产环境对农产品安全已构成较大危害</w:t>
            </w:r>
          </w:p>
        </w:tc>
      </w:tr>
    </w:tbl>
    <w:p w14:paraId="58972B3C" w14:textId="77777777" w:rsidR="00B752A8" w:rsidRDefault="00C46237">
      <w:pPr>
        <w:pStyle w:val="af8"/>
        <w:spacing w:line="276" w:lineRule="auto"/>
        <w:ind w:leftChars="200" w:left="820" w:hangingChars="200" w:hanging="400"/>
        <w:rPr>
          <w:rFonts w:ascii="Times New Roman"/>
          <w:sz w:val="20"/>
        </w:rPr>
      </w:pPr>
      <w:r>
        <w:rPr>
          <w:rFonts w:hAnsi="宋体" w:hint="eastAsia"/>
          <w:sz w:val="20"/>
        </w:rPr>
        <w:t>注：</w:t>
      </w:r>
      <w:r>
        <w:rPr>
          <w:rFonts w:ascii="Times New Roman" w:hint="eastAsia"/>
          <w:sz w:val="20"/>
        </w:rPr>
        <w:t>1.</w:t>
      </w:r>
      <w:r>
        <w:rPr>
          <w:rFonts w:ascii="Times New Roman"/>
          <w:sz w:val="20"/>
        </w:rPr>
        <w:t xml:space="preserve"> </w:t>
      </w:r>
      <w:r>
        <w:rPr>
          <w:rFonts w:ascii="Times New Roman" w:eastAsia="仿宋"/>
          <w:i/>
          <w:sz w:val="20"/>
        </w:rPr>
        <w:t>S</w:t>
      </w:r>
      <w:r>
        <w:rPr>
          <w:rFonts w:ascii="Times New Roman" w:eastAsia="仿宋"/>
          <w:i/>
          <w:sz w:val="20"/>
          <w:vertAlign w:val="subscript"/>
        </w:rPr>
        <w:t>i</w:t>
      </w:r>
      <w:r>
        <w:rPr>
          <w:rFonts w:hAnsi="宋体" w:hint="eastAsia"/>
          <w:iCs/>
          <w:sz w:val="20"/>
        </w:rPr>
        <w:t>和</w:t>
      </w:r>
      <w:r>
        <w:rPr>
          <w:rFonts w:ascii="Times New Roman" w:eastAsia="仿宋" w:hint="eastAsia"/>
          <w:i/>
          <w:sz w:val="20"/>
        </w:rPr>
        <w:t>G</w:t>
      </w:r>
      <w:r>
        <w:rPr>
          <w:rFonts w:ascii="Times New Roman" w:eastAsia="仿宋" w:hint="eastAsia"/>
          <w:iCs/>
          <w:sz w:val="20"/>
          <w:vertAlign w:val="subscript"/>
        </w:rPr>
        <w:t>i</w:t>
      </w:r>
      <w:r>
        <w:rPr>
          <w:rFonts w:hAnsi="宋体" w:hint="eastAsia"/>
          <w:iCs/>
          <w:sz w:val="20"/>
        </w:rPr>
        <w:t>分别</w:t>
      </w:r>
      <w:r>
        <w:rPr>
          <w:rFonts w:ascii="Times New Roman" w:hint="eastAsia"/>
          <w:sz w:val="20"/>
        </w:rPr>
        <w:t>为</w:t>
      </w:r>
      <w:r>
        <w:rPr>
          <w:rFonts w:ascii="Times New Roman"/>
          <w:sz w:val="20"/>
        </w:rPr>
        <w:t>GB</w:t>
      </w:r>
      <w:r>
        <w:rPr>
          <w:rFonts w:ascii="Times New Roman" w:hint="eastAsia"/>
          <w:sz w:val="20"/>
        </w:rPr>
        <w:t xml:space="preserve"> </w:t>
      </w:r>
      <w:r>
        <w:rPr>
          <w:rFonts w:ascii="Times New Roman"/>
          <w:sz w:val="20"/>
        </w:rPr>
        <w:t>15618—2018</w:t>
      </w:r>
      <w:r>
        <w:rPr>
          <w:rFonts w:ascii="Times New Roman"/>
          <w:sz w:val="20"/>
        </w:rPr>
        <w:t>中的筛选值和管制值</w:t>
      </w:r>
    </w:p>
    <w:p w14:paraId="3A628E64" w14:textId="77777777" w:rsidR="00B752A8" w:rsidRDefault="00C46237">
      <w:pPr>
        <w:pStyle w:val="af8"/>
        <w:spacing w:line="276" w:lineRule="auto"/>
        <w:ind w:leftChars="380" w:left="840" w:hangingChars="21" w:hanging="42"/>
        <w:rPr>
          <w:rFonts w:ascii="Times New Roman"/>
          <w:iCs/>
          <w:sz w:val="20"/>
        </w:rPr>
      </w:pPr>
      <w:r>
        <w:rPr>
          <w:rFonts w:ascii="Times New Roman" w:hint="eastAsia"/>
          <w:sz w:val="20"/>
        </w:rPr>
        <w:t>2.</w:t>
      </w:r>
      <w:r>
        <w:rPr>
          <w:rFonts w:ascii="Times New Roman"/>
          <w:sz w:val="20"/>
        </w:rPr>
        <w:t xml:space="preserve"> </w:t>
      </w:r>
      <w:r>
        <w:rPr>
          <w:rFonts w:ascii="Times New Roman"/>
          <w:i/>
          <w:sz w:val="20"/>
        </w:rPr>
        <w:t>P</w:t>
      </w:r>
      <w:r>
        <w:rPr>
          <w:rFonts w:ascii="Times New Roman"/>
          <w:i/>
          <w:sz w:val="20"/>
          <w:vertAlign w:val="subscript"/>
        </w:rPr>
        <w:t>i</w:t>
      </w:r>
      <w:r>
        <w:rPr>
          <w:rFonts w:ascii="Times New Roman" w:hint="eastAsia"/>
          <w:sz w:val="20"/>
        </w:rPr>
        <w:t>为</w:t>
      </w:r>
      <w:r>
        <w:rPr>
          <w:rFonts w:ascii="Times New Roman" w:cs="Arial Unicode MS" w:hint="eastAsia"/>
          <w:iCs/>
          <w:sz w:val="20"/>
        </w:rPr>
        <w:t>G</w:t>
      </w:r>
      <w:r>
        <w:rPr>
          <w:rFonts w:ascii="Times New Roman" w:cs="Arial Unicode MS"/>
          <w:iCs/>
          <w:sz w:val="20"/>
        </w:rPr>
        <w:t>B 2762</w:t>
      </w:r>
      <w:r>
        <w:rPr>
          <w:rFonts w:ascii="Times New Roman" w:cs="Arial Unicode MS" w:hint="eastAsia"/>
          <w:iCs/>
          <w:sz w:val="20"/>
        </w:rPr>
        <w:t>中规定的食用农产品限量标准值</w:t>
      </w:r>
    </w:p>
    <w:p w14:paraId="71FD53E3" w14:textId="77777777" w:rsidR="00B752A8" w:rsidRDefault="00C46237">
      <w:pPr>
        <w:spacing w:beforeLines="50" w:before="156"/>
        <w:outlineLvl w:val="1"/>
        <w:rPr>
          <w:rFonts w:ascii="黑体" w:eastAsia="黑体" w:hAnsi="黑体" w:cs="黑体"/>
        </w:rPr>
      </w:pPr>
      <w:r>
        <w:rPr>
          <w:rFonts w:ascii="黑体" w:eastAsia="黑体" w:hAnsi="黑体" w:cs="黑体" w:hint="eastAsia"/>
        </w:rPr>
        <w:t>6.5  划分风险单元并判定其风险</w:t>
      </w:r>
    </w:p>
    <w:p w14:paraId="1E882932" w14:textId="77777777" w:rsidR="00B752A8" w:rsidRDefault="00C46237">
      <w:pPr>
        <w:ind w:firstLineChars="200" w:firstLine="420"/>
      </w:pPr>
      <w:r>
        <w:t>当</w:t>
      </w:r>
      <w:r>
        <w:rPr>
          <w:rFonts w:hint="eastAsia"/>
        </w:rPr>
        <w:t>调查</w:t>
      </w:r>
      <w:r>
        <w:t>单元内</w:t>
      </w:r>
      <w:r>
        <w:rPr>
          <w:rFonts w:hint="eastAsia"/>
        </w:rPr>
        <w:t>各采样调查点位风险水平</w:t>
      </w:r>
      <w:r>
        <w:t>一致，则</w:t>
      </w:r>
      <w:r>
        <w:rPr>
          <w:rFonts w:hint="eastAsia"/>
        </w:rPr>
        <w:t>调查</w:t>
      </w:r>
      <w:r>
        <w:t>单元即为</w:t>
      </w:r>
      <w:r>
        <w:rPr>
          <w:rFonts w:hint="eastAsia"/>
        </w:rPr>
        <w:t>同一风险水平的风险单元</w:t>
      </w:r>
      <w:r>
        <w:t>；否则应根据</w:t>
      </w:r>
      <w:r>
        <w:rPr>
          <w:rFonts w:hint="eastAsia"/>
        </w:rPr>
        <w:t>调查</w:t>
      </w:r>
      <w:r>
        <w:t>单元内</w:t>
      </w:r>
      <w:r>
        <w:rPr>
          <w:rFonts w:hint="eastAsia"/>
        </w:rPr>
        <w:t>各</w:t>
      </w:r>
      <w:r>
        <w:t>点位</w:t>
      </w:r>
      <w:r>
        <w:rPr>
          <w:rFonts w:hint="eastAsia"/>
        </w:rPr>
        <w:t>风险水平</w:t>
      </w:r>
      <w:r>
        <w:t>，</w:t>
      </w:r>
      <w:r>
        <w:rPr>
          <w:rFonts w:hint="eastAsia"/>
        </w:rPr>
        <w:t>按照</w:t>
      </w:r>
      <w:r>
        <w:t>聚类原则，利用空间插值法结合专家经验判断，将</w:t>
      </w:r>
      <w:r>
        <w:rPr>
          <w:rFonts w:hint="eastAsia"/>
        </w:rPr>
        <w:t>调查</w:t>
      </w:r>
      <w:r>
        <w:t>单元划分为不同的</w:t>
      </w:r>
      <w:r>
        <w:rPr>
          <w:rFonts w:hint="eastAsia"/>
        </w:rPr>
        <w:t>风险单元，</w:t>
      </w:r>
      <w:r>
        <w:t>尽量使每个</w:t>
      </w:r>
      <w:r>
        <w:rPr>
          <w:rFonts w:hint="eastAsia"/>
        </w:rPr>
        <w:t>风险单元</w:t>
      </w:r>
      <w:r>
        <w:t>内的</w:t>
      </w:r>
      <w:r>
        <w:rPr>
          <w:rFonts w:hint="eastAsia"/>
        </w:rPr>
        <w:t>各</w:t>
      </w:r>
      <w:r>
        <w:t>点位</w:t>
      </w:r>
      <w:r>
        <w:rPr>
          <w:rFonts w:hint="eastAsia"/>
        </w:rPr>
        <w:t>风险水平</w:t>
      </w:r>
      <w:r>
        <w:t>保持一致。</w:t>
      </w:r>
    </w:p>
    <w:p w14:paraId="68A13535" w14:textId="77777777" w:rsidR="00B752A8" w:rsidRDefault="00C46237">
      <w:pPr>
        <w:ind w:firstLineChars="200" w:firstLine="420"/>
      </w:pPr>
      <w:r>
        <w:t>判定</w:t>
      </w:r>
      <w:r>
        <w:rPr>
          <w:rFonts w:hint="eastAsia"/>
        </w:rPr>
        <w:t>风险单元风险水平</w:t>
      </w:r>
      <w:r>
        <w:t>包括四种情形：</w:t>
      </w:r>
    </w:p>
    <w:p w14:paraId="0B832E7D" w14:textId="77777777" w:rsidR="00B752A8" w:rsidRDefault="00C46237">
      <w:pPr>
        <w:ind w:firstLineChars="200" w:firstLine="420"/>
      </w:pPr>
      <w:r>
        <w:t>——</w:t>
      </w:r>
      <w:r>
        <w:t>当</w:t>
      </w:r>
      <w:r>
        <w:rPr>
          <w:rFonts w:hint="eastAsia"/>
        </w:rPr>
        <w:t>风险单元</w:t>
      </w:r>
      <w:r>
        <w:t>内</w:t>
      </w:r>
      <w:r>
        <w:rPr>
          <w:rFonts w:hint="eastAsia"/>
        </w:rPr>
        <w:t>各</w:t>
      </w:r>
      <w:r>
        <w:t>点位</w:t>
      </w:r>
      <w:r>
        <w:rPr>
          <w:rFonts w:hint="eastAsia"/>
        </w:rPr>
        <w:t>风险水平</w:t>
      </w:r>
      <w:r>
        <w:t>一致时，</w:t>
      </w:r>
      <w:r>
        <w:rPr>
          <w:rFonts w:hint="eastAsia"/>
        </w:rPr>
        <w:t>则</w:t>
      </w:r>
      <w:r>
        <w:t>该点位</w:t>
      </w:r>
      <w:r>
        <w:rPr>
          <w:rFonts w:hint="eastAsia"/>
        </w:rPr>
        <w:t>风险水平</w:t>
      </w:r>
      <w:r>
        <w:t>即为该</w:t>
      </w:r>
      <w:r>
        <w:rPr>
          <w:rFonts w:hint="eastAsia"/>
        </w:rPr>
        <w:t>风险单元的风险水平</w:t>
      </w:r>
      <w:r>
        <w:t>。</w:t>
      </w:r>
      <w:r>
        <w:rPr>
          <w:rFonts w:hint="eastAsia"/>
        </w:rPr>
        <w:t>（如图</w:t>
      </w:r>
      <w:r>
        <w:t>2</w:t>
      </w:r>
      <w:r>
        <w:t>所示</w:t>
      </w:r>
      <w:r>
        <w:rPr>
          <w:rFonts w:hint="eastAsia"/>
        </w:rPr>
        <w:t>）</w:t>
      </w:r>
    </w:p>
    <w:p w14:paraId="429B2B08" w14:textId="77777777" w:rsidR="00B752A8" w:rsidRDefault="00C46237">
      <w:pPr>
        <w:jc w:val="center"/>
        <w:rPr>
          <w:highlight w:val="yellow"/>
        </w:rPr>
      </w:pPr>
      <w:r>
        <w:rPr>
          <w:rFonts w:eastAsia="黑体"/>
          <w:noProof/>
        </w:rPr>
        <w:lastRenderedPageBreak/>
        <w:drawing>
          <wp:inline distT="0" distB="0" distL="0" distR="0" wp14:anchorId="0CEC2975" wp14:editId="5AFF28B2">
            <wp:extent cx="5273675" cy="2905125"/>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273675" cy="2905125"/>
                    </a:xfrm>
                    <a:prstGeom prst="rect">
                      <a:avLst/>
                    </a:prstGeom>
                  </pic:spPr>
                </pic:pic>
              </a:graphicData>
            </a:graphic>
          </wp:inline>
        </w:drawing>
      </w:r>
    </w:p>
    <w:p w14:paraId="55CE9F88" w14:textId="77777777" w:rsidR="00B752A8" w:rsidRDefault="00C46237">
      <w:pPr>
        <w:ind w:firstLineChars="200" w:firstLine="400"/>
        <w:jc w:val="center"/>
        <w:rPr>
          <w:rFonts w:ascii="黑体" w:eastAsia="黑体" w:hAnsi="黑体"/>
          <w:sz w:val="20"/>
          <w:szCs w:val="20"/>
        </w:rPr>
      </w:pPr>
      <w:r>
        <w:rPr>
          <w:rFonts w:ascii="黑体" w:eastAsia="黑体" w:hAnsi="黑体" w:hint="eastAsia"/>
          <w:sz w:val="20"/>
          <w:szCs w:val="20"/>
        </w:rPr>
        <w:t>图</w:t>
      </w:r>
      <w:r>
        <w:rPr>
          <w:rFonts w:ascii="黑体" w:eastAsia="黑体" w:hAnsi="黑体"/>
          <w:sz w:val="20"/>
          <w:szCs w:val="20"/>
        </w:rPr>
        <w:t xml:space="preserve">2 </w:t>
      </w:r>
      <w:r>
        <w:rPr>
          <w:rFonts w:ascii="黑体" w:eastAsia="黑体" w:hAnsi="黑体" w:hint="eastAsia"/>
          <w:sz w:val="20"/>
          <w:szCs w:val="20"/>
        </w:rPr>
        <w:t xml:space="preserve"> 风险单元判定示意图（情形</w:t>
      </w:r>
      <w:r>
        <w:rPr>
          <w:rFonts w:ascii="黑体" w:eastAsia="黑体" w:hAnsi="黑体"/>
          <w:sz w:val="20"/>
          <w:szCs w:val="20"/>
        </w:rPr>
        <w:t>1</w:t>
      </w:r>
      <w:r>
        <w:rPr>
          <w:rFonts w:ascii="黑体" w:eastAsia="黑体" w:hAnsi="黑体" w:hint="eastAsia"/>
          <w:sz w:val="20"/>
          <w:szCs w:val="20"/>
        </w:rPr>
        <w:t>）</w:t>
      </w:r>
    </w:p>
    <w:p w14:paraId="72CB0523" w14:textId="77777777" w:rsidR="00B752A8" w:rsidRDefault="00C46237">
      <w:pPr>
        <w:ind w:firstLineChars="200" w:firstLine="420"/>
        <w:rPr>
          <w:highlight w:val="yellow"/>
        </w:rPr>
      </w:pPr>
      <w:r>
        <w:t>——</w:t>
      </w:r>
      <w:r>
        <w:t>当</w:t>
      </w:r>
      <w:r>
        <w:rPr>
          <w:rFonts w:hint="eastAsia"/>
        </w:rPr>
        <w:t>风险单元</w:t>
      </w:r>
      <w:r>
        <w:t>内存在不同</w:t>
      </w:r>
      <w:r>
        <w:rPr>
          <w:rFonts w:hint="eastAsia"/>
        </w:rPr>
        <w:t>风险水平的</w:t>
      </w:r>
      <w:r>
        <w:t>点位时，某</w:t>
      </w:r>
      <w:r>
        <w:rPr>
          <w:rFonts w:hint="eastAsia"/>
        </w:rPr>
        <w:t>类水平的</w:t>
      </w:r>
      <w:r>
        <w:t>点位数量占比超过</w:t>
      </w:r>
      <w:r>
        <w:t>80%</w:t>
      </w:r>
      <w:r>
        <w:t>，其他点位（非</w:t>
      </w:r>
      <w:r>
        <w:rPr>
          <w:rFonts w:hint="eastAsia"/>
        </w:rPr>
        <w:t>高风险</w:t>
      </w:r>
      <w:r>
        <w:t>点位）不连续分布，该单元则按照优势点位的</w:t>
      </w:r>
      <w:r>
        <w:rPr>
          <w:rFonts w:hint="eastAsia"/>
        </w:rPr>
        <w:t>风险水平</w:t>
      </w:r>
      <w:r>
        <w:t>计</w:t>
      </w:r>
      <w:r>
        <w:rPr>
          <w:rFonts w:hint="eastAsia"/>
        </w:rPr>
        <w:t>（如图</w:t>
      </w:r>
      <w:r>
        <w:t>3</w:t>
      </w:r>
      <w:r>
        <w:t>所示</w:t>
      </w:r>
      <w:r>
        <w:rPr>
          <w:rFonts w:hint="eastAsia"/>
        </w:rPr>
        <w:t>）</w:t>
      </w:r>
      <w:r>
        <w:t>；如存在</w:t>
      </w:r>
      <w:r>
        <w:t>2</w:t>
      </w:r>
      <w:r>
        <w:t>个或以上非优势点位连续分布，则按地物边界（地块边界、村界、道路、沟渠、河流等），划分出连续的非优势点位对应的</w:t>
      </w:r>
      <w:r>
        <w:rPr>
          <w:rFonts w:hint="eastAsia"/>
        </w:rPr>
        <w:t>风险单元</w:t>
      </w:r>
      <w:r>
        <w:t>。</w:t>
      </w:r>
      <w:r>
        <w:rPr>
          <w:rFonts w:hint="eastAsia"/>
        </w:rPr>
        <w:t>（如图</w:t>
      </w:r>
      <w:r>
        <w:t>4</w:t>
      </w:r>
      <w:r>
        <w:t>所示</w:t>
      </w:r>
      <w:r>
        <w:rPr>
          <w:rFonts w:hint="eastAsia"/>
        </w:rPr>
        <w:t>）</w:t>
      </w:r>
    </w:p>
    <w:p w14:paraId="7190FCA8" w14:textId="77777777" w:rsidR="00B752A8" w:rsidRDefault="00C46237">
      <w:pPr>
        <w:ind w:firstLineChars="200" w:firstLine="400"/>
        <w:jc w:val="center"/>
        <w:rPr>
          <w:rFonts w:ascii="黑体" w:eastAsia="黑体" w:hAnsi="黑体"/>
          <w:sz w:val="20"/>
          <w:szCs w:val="20"/>
        </w:rPr>
      </w:pPr>
      <w:r>
        <w:rPr>
          <w:rFonts w:eastAsia="黑体"/>
          <w:noProof/>
          <w:sz w:val="20"/>
          <w:szCs w:val="18"/>
        </w:rPr>
        <w:drawing>
          <wp:inline distT="0" distB="0" distL="0" distR="0" wp14:anchorId="09C9218A" wp14:editId="04185BB1">
            <wp:extent cx="5274310" cy="290703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274310" cy="2907030"/>
                    </a:xfrm>
                    <a:prstGeom prst="rect">
                      <a:avLst/>
                    </a:prstGeom>
                  </pic:spPr>
                </pic:pic>
              </a:graphicData>
            </a:graphic>
          </wp:inline>
        </w:drawing>
      </w:r>
      <w:r>
        <w:rPr>
          <w:rFonts w:ascii="黑体" w:eastAsia="黑体" w:hAnsi="黑体" w:hint="eastAsia"/>
          <w:sz w:val="20"/>
          <w:szCs w:val="20"/>
        </w:rPr>
        <w:t>图</w:t>
      </w:r>
      <w:r>
        <w:rPr>
          <w:rFonts w:ascii="黑体" w:eastAsia="黑体" w:hAnsi="黑体"/>
          <w:sz w:val="20"/>
          <w:szCs w:val="20"/>
        </w:rPr>
        <w:t>3</w:t>
      </w:r>
      <w:r>
        <w:rPr>
          <w:rFonts w:ascii="黑体" w:eastAsia="黑体" w:hAnsi="黑体" w:hint="eastAsia"/>
          <w:sz w:val="20"/>
          <w:szCs w:val="20"/>
        </w:rPr>
        <w:t xml:space="preserve"> </w:t>
      </w:r>
      <w:r>
        <w:rPr>
          <w:rFonts w:ascii="黑体" w:eastAsia="黑体" w:hAnsi="黑体"/>
          <w:sz w:val="20"/>
          <w:szCs w:val="20"/>
        </w:rPr>
        <w:t xml:space="preserve"> </w:t>
      </w:r>
      <w:r>
        <w:rPr>
          <w:rFonts w:ascii="黑体" w:eastAsia="黑体" w:hAnsi="黑体" w:hint="eastAsia"/>
          <w:sz w:val="20"/>
          <w:szCs w:val="20"/>
        </w:rPr>
        <w:t>风险单元判定示意图（情形</w:t>
      </w:r>
      <w:r>
        <w:rPr>
          <w:rFonts w:ascii="黑体" w:eastAsia="黑体" w:hAnsi="黑体"/>
          <w:sz w:val="20"/>
          <w:szCs w:val="20"/>
        </w:rPr>
        <w:t>2</w:t>
      </w:r>
      <w:r>
        <w:rPr>
          <w:rFonts w:ascii="黑体" w:eastAsia="黑体" w:hAnsi="黑体" w:hint="eastAsia"/>
          <w:sz w:val="20"/>
          <w:szCs w:val="20"/>
        </w:rPr>
        <w:t>-</w:t>
      </w:r>
      <w:r>
        <w:rPr>
          <w:rFonts w:ascii="黑体" w:eastAsia="黑体" w:hAnsi="黑体"/>
          <w:sz w:val="20"/>
          <w:szCs w:val="20"/>
        </w:rPr>
        <w:t>1</w:t>
      </w:r>
      <w:r>
        <w:rPr>
          <w:rFonts w:ascii="黑体" w:eastAsia="黑体" w:hAnsi="黑体" w:hint="eastAsia"/>
          <w:sz w:val="20"/>
          <w:szCs w:val="20"/>
        </w:rPr>
        <w:t>）</w:t>
      </w:r>
    </w:p>
    <w:p w14:paraId="6239BD6E" w14:textId="77777777" w:rsidR="00B752A8" w:rsidRDefault="00C46237">
      <w:pPr>
        <w:ind w:firstLineChars="200" w:firstLine="400"/>
        <w:jc w:val="center"/>
        <w:rPr>
          <w:rFonts w:eastAsia="黑体"/>
          <w:sz w:val="20"/>
          <w:szCs w:val="18"/>
        </w:rPr>
      </w:pPr>
      <w:r>
        <w:rPr>
          <w:rFonts w:eastAsia="黑体"/>
          <w:noProof/>
          <w:sz w:val="20"/>
          <w:szCs w:val="18"/>
        </w:rPr>
        <w:lastRenderedPageBreak/>
        <w:drawing>
          <wp:inline distT="0" distB="0" distL="0" distR="0" wp14:anchorId="35823D63" wp14:editId="6079DF9F">
            <wp:extent cx="5274310" cy="288163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274310" cy="2881630"/>
                    </a:xfrm>
                    <a:prstGeom prst="rect">
                      <a:avLst/>
                    </a:prstGeom>
                  </pic:spPr>
                </pic:pic>
              </a:graphicData>
            </a:graphic>
          </wp:inline>
        </w:drawing>
      </w:r>
    </w:p>
    <w:p w14:paraId="5C24FD4D" w14:textId="77777777" w:rsidR="00B752A8" w:rsidRDefault="00C46237">
      <w:pPr>
        <w:ind w:firstLineChars="200" w:firstLine="400"/>
        <w:jc w:val="center"/>
        <w:rPr>
          <w:rFonts w:ascii="黑体" w:eastAsia="黑体" w:hAnsi="黑体"/>
          <w:sz w:val="20"/>
          <w:szCs w:val="20"/>
        </w:rPr>
      </w:pPr>
      <w:r>
        <w:rPr>
          <w:rFonts w:ascii="黑体" w:eastAsia="黑体" w:hAnsi="黑体" w:hint="eastAsia"/>
          <w:sz w:val="20"/>
          <w:szCs w:val="20"/>
        </w:rPr>
        <w:t>图</w:t>
      </w:r>
      <w:r>
        <w:rPr>
          <w:rFonts w:ascii="黑体" w:eastAsia="黑体" w:hAnsi="黑体"/>
          <w:sz w:val="20"/>
          <w:szCs w:val="20"/>
        </w:rPr>
        <w:t xml:space="preserve">4 </w:t>
      </w:r>
      <w:r>
        <w:rPr>
          <w:rFonts w:ascii="黑体" w:eastAsia="黑体" w:hAnsi="黑体" w:hint="eastAsia"/>
          <w:sz w:val="20"/>
          <w:szCs w:val="20"/>
        </w:rPr>
        <w:t xml:space="preserve"> 风险单元判定示意图（情形</w:t>
      </w:r>
      <w:r>
        <w:rPr>
          <w:rFonts w:ascii="黑体" w:eastAsia="黑体" w:hAnsi="黑体"/>
          <w:sz w:val="20"/>
          <w:szCs w:val="20"/>
        </w:rPr>
        <w:t>2</w:t>
      </w:r>
      <w:r>
        <w:rPr>
          <w:rFonts w:ascii="黑体" w:eastAsia="黑体" w:hAnsi="黑体" w:hint="eastAsia"/>
          <w:sz w:val="20"/>
          <w:szCs w:val="20"/>
        </w:rPr>
        <w:t>-</w:t>
      </w:r>
      <w:r>
        <w:rPr>
          <w:rFonts w:ascii="黑体" w:eastAsia="黑体" w:hAnsi="黑体"/>
          <w:sz w:val="20"/>
          <w:szCs w:val="20"/>
        </w:rPr>
        <w:t>2</w:t>
      </w:r>
      <w:r>
        <w:rPr>
          <w:rFonts w:ascii="黑体" w:eastAsia="黑体" w:hAnsi="黑体" w:hint="eastAsia"/>
          <w:sz w:val="20"/>
          <w:szCs w:val="20"/>
        </w:rPr>
        <w:t>）</w:t>
      </w:r>
    </w:p>
    <w:p w14:paraId="121652BC" w14:textId="77777777" w:rsidR="00B752A8" w:rsidRDefault="00C46237">
      <w:pPr>
        <w:ind w:firstLineChars="200" w:firstLine="420"/>
        <w:rPr>
          <w:highlight w:val="yellow"/>
        </w:rPr>
      </w:pPr>
      <w:r>
        <w:t>——</w:t>
      </w:r>
      <w:r>
        <w:t>对孤立的</w:t>
      </w:r>
      <w:r>
        <w:rPr>
          <w:rFonts w:hint="eastAsia"/>
        </w:rPr>
        <w:t>高风险</w:t>
      </w:r>
      <w:r>
        <w:t>点位，根据影像信息或实地踏勘情况划分出对应的</w:t>
      </w:r>
      <w:r>
        <w:rPr>
          <w:rFonts w:hint="eastAsia"/>
        </w:rPr>
        <w:t>高风险</w:t>
      </w:r>
      <w:r>
        <w:t>类范围；如果无法判断边界，则按最靠近的地物边界（地块边界、村界、道路、沟渠、河流等），划出合理较小的面积范围。</w:t>
      </w:r>
      <w:r>
        <w:rPr>
          <w:rFonts w:hint="eastAsia"/>
        </w:rPr>
        <w:t>（如图</w:t>
      </w:r>
      <w:r>
        <w:t>5</w:t>
      </w:r>
      <w:r>
        <w:t>所示</w:t>
      </w:r>
      <w:r>
        <w:rPr>
          <w:rFonts w:hint="eastAsia"/>
        </w:rPr>
        <w:t>）</w:t>
      </w:r>
    </w:p>
    <w:p w14:paraId="7D70AF04" w14:textId="77777777" w:rsidR="00B752A8" w:rsidRDefault="00C46237">
      <w:pPr>
        <w:jc w:val="center"/>
      </w:pPr>
      <w:r>
        <w:rPr>
          <w:rFonts w:eastAsia="黑体"/>
          <w:noProof/>
        </w:rPr>
        <w:drawing>
          <wp:inline distT="0" distB="0" distL="0" distR="0" wp14:anchorId="3E84BCBD" wp14:editId="054980AC">
            <wp:extent cx="5274310" cy="2881630"/>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274310" cy="2881630"/>
                    </a:xfrm>
                    <a:prstGeom prst="rect">
                      <a:avLst/>
                    </a:prstGeom>
                  </pic:spPr>
                </pic:pic>
              </a:graphicData>
            </a:graphic>
          </wp:inline>
        </w:drawing>
      </w:r>
    </w:p>
    <w:p w14:paraId="66F7198C" w14:textId="77777777" w:rsidR="00B752A8" w:rsidRDefault="00C46237">
      <w:pPr>
        <w:ind w:firstLineChars="200" w:firstLine="400"/>
        <w:jc w:val="center"/>
        <w:rPr>
          <w:rFonts w:ascii="黑体" w:eastAsia="黑体" w:hAnsi="黑体"/>
          <w:sz w:val="20"/>
          <w:szCs w:val="20"/>
        </w:rPr>
      </w:pPr>
      <w:r>
        <w:rPr>
          <w:rFonts w:ascii="黑体" w:eastAsia="黑体" w:hAnsi="黑体" w:hint="eastAsia"/>
          <w:sz w:val="20"/>
          <w:szCs w:val="20"/>
        </w:rPr>
        <w:t>图</w:t>
      </w:r>
      <w:r>
        <w:rPr>
          <w:rFonts w:ascii="黑体" w:eastAsia="黑体" w:hAnsi="黑体"/>
          <w:sz w:val="20"/>
          <w:szCs w:val="20"/>
        </w:rPr>
        <w:t xml:space="preserve">5 </w:t>
      </w:r>
      <w:r>
        <w:rPr>
          <w:rFonts w:ascii="黑体" w:eastAsia="黑体" w:hAnsi="黑体" w:hint="eastAsia"/>
          <w:sz w:val="20"/>
          <w:szCs w:val="20"/>
        </w:rPr>
        <w:t xml:space="preserve"> 风险单元判定示意图（情形</w:t>
      </w:r>
      <w:r>
        <w:rPr>
          <w:rFonts w:ascii="黑体" w:eastAsia="黑体" w:hAnsi="黑体"/>
          <w:sz w:val="20"/>
          <w:szCs w:val="20"/>
        </w:rPr>
        <w:t>3</w:t>
      </w:r>
      <w:r>
        <w:rPr>
          <w:rFonts w:ascii="黑体" w:eastAsia="黑体" w:hAnsi="黑体" w:hint="eastAsia"/>
          <w:sz w:val="20"/>
          <w:szCs w:val="20"/>
        </w:rPr>
        <w:t>）</w:t>
      </w:r>
    </w:p>
    <w:p w14:paraId="309BFBAF" w14:textId="77777777" w:rsidR="00B752A8" w:rsidRDefault="00C46237">
      <w:pPr>
        <w:ind w:firstLineChars="200" w:firstLine="420"/>
        <w:rPr>
          <w:highlight w:val="yellow"/>
        </w:rPr>
      </w:pPr>
      <w:r>
        <w:t>——</w:t>
      </w:r>
      <w:r>
        <w:t>当</w:t>
      </w:r>
      <w:r>
        <w:rPr>
          <w:rFonts w:hint="eastAsia"/>
        </w:rPr>
        <w:t>风险单元</w:t>
      </w:r>
      <w:r>
        <w:t>内存在不连续分布的</w:t>
      </w:r>
      <w:r>
        <w:rPr>
          <w:rFonts w:hint="eastAsia"/>
        </w:rPr>
        <w:t>中低风险</w:t>
      </w:r>
      <w:r>
        <w:t>点位，且无优势点位时，可将该</w:t>
      </w:r>
      <w:r>
        <w:rPr>
          <w:rFonts w:hint="eastAsia"/>
        </w:rPr>
        <w:t>风险单元</w:t>
      </w:r>
      <w:r>
        <w:t>划为</w:t>
      </w:r>
      <w:r>
        <w:rPr>
          <w:rFonts w:hint="eastAsia"/>
        </w:rPr>
        <w:t>中风险</w:t>
      </w:r>
      <w:r>
        <w:t>类。</w:t>
      </w:r>
      <w:r>
        <w:rPr>
          <w:rFonts w:hint="eastAsia"/>
        </w:rPr>
        <w:t>（如图</w:t>
      </w:r>
      <w:r>
        <w:t>6</w:t>
      </w:r>
      <w:r>
        <w:t>所示</w:t>
      </w:r>
      <w:r>
        <w:rPr>
          <w:rFonts w:hint="eastAsia"/>
        </w:rPr>
        <w:t>）</w:t>
      </w:r>
    </w:p>
    <w:p w14:paraId="6B132AA9" w14:textId="77777777" w:rsidR="00B752A8" w:rsidRDefault="00C46237">
      <w:pPr>
        <w:jc w:val="center"/>
        <w:rPr>
          <w:rFonts w:ascii="黑体" w:eastAsia="黑体" w:hAnsi="黑体"/>
          <w:sz w:val="20"/>
          <w:szCs w:val="20"/>
        </w:rPr>
      </w:pPr>
      <w:r>
        <w:rPr>
          <w:rFonts w:eastAsia="黑体" w:hint="eastAsia"/>
          <w:noProof/>
          <w:sz w:val="20"/>
          <w:szCs w:val="18"/>
        </w:rPr>
        <w:lastRenderedPageBreak/>
        <w:drawing>
          <wp:inline distT="0" distB="0" distL="0" distR="0" wp14:anchorId="6FD9EA13" wp14:editId="15F5BF76">
            <wp:extent cx="5274310" cy="289179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274310" cy="2891790"/>
                    </a:xfrm>
                    <a:prstGeom prst="rect">
                      <a:avLst/>
                    </a:prstGeom>
                  </pic:spPr>
                </pic:pic>
              </a:graphicData>
            </a:graphic>
          </wp:inline>
        </w:drawing>
      </w:r>
      <w:r>
        <w:rPr>
          <w:rFonts w:ascii="黑体" w:eastAsia="黑体" w:hAnsi="黑体" w:hint="eastAsia"/>
          <w:sz w:val="20"/>
          <w:szCs w:val="20"/>
        </w:rPr>
        <w:t>图</w:t>
      </w:r>
      <w:r>
        <w:rPr>
          <w:rFonts w:ascii="黑体" w:eastAsia="黑体" w:hAnsi="黑体"/>
          <w:sz w:val="20"/>
          <w:szCs w:val="20"/>
        </w:rPr>
        <w:t xml:space="preserve">6 </w:t>
      </w:r>
      <w:r>
        <w:rPr>
          <w:rFonts w:ascii="黑体" w:eastAsia="黑体" w:hAnsi="黑体" w:hint="eastAsia"/>
          <w:sz w:val="20"/>
          <w:szCs w:val="20"/>
        </w:rPr>
        <w:t xml:space="preserve"> 风险单元判定示意图（情形</w:t>
      </w:r>
      <w:r>
        <w:rPr>
          <w:rFonts w:ascii="黑体" w:eastAsia="黑体" w:hAnsi="黑体"/>
          <w:sz w:val="20"/>
          <w:szCs w:val="20"/>
        </w:rPr>
        <w:t>4</w:t>
      </w:r>
      <w:r>
        <w:rPr>
          <w:rFonts w:ascii="黑体" w:eastAsia="黑体" w:hAnsi="黑体" w:hint="eastAsia"/>
          <w:sz w:val="20"/>
          <w:szCs w:val="20"/>
        </w:rPr>
        <w:t>）</w:t>
      </w:r>
    </w:p>
    <w:p w14:paraId="5958772D" w14:textId="77777777" w:rsidR="00B752A8" w:rsidRDefault="00C46237">
      <w:pPr>
        <w:ind w:firstLineChars="200" w:firstLine="400"/>
        <w:rPr>
          <w:sz w:val="20"/>
          <w:szCs w:val="20"/>
        </w:rPr>
      </w:pPr>
      <w:r>
        <w:rPr>
          <w:rFonts w:hAnsi="宋体"/>
          <w:sz w:val="20"/>
          <w:szCs w:val="20"/>
        </w:rPr>
        <w:t>注：</w:t>
      </w:r>
      <w:r>
        <w:rPr>
          <w:noProof/>
          <w:sz w:val="20"/>
          <w:szCs w:val="20"/>
        </w:rPr>
        <w:drawing>
          <wp:inline distT="0" distB="0" distL="0" distR="0" wp14:anchorId="0FBEBC5B" wp14:editId="234CA229">
            <wp:extent cx="118745" cy="1079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18745" cy="107950"/>
                    </a:xfrm>
                    <a:prstGeom prst="rect">
                      <a:avLst/>
                    </a:prstGeom>
                  </pic:spPr>
                </pic:pic>
              </a:graphicData>
            </a:graphic>
          </wp:inline>
        </w:drawing>
      </w:r>
      <w:r>
        <w:rPr>
          <w:rFonts w:hAnsi="宋体"/>
          <w:sz w:val="20"/>
          <w:szCs w:val="20"/>
        </w:rPr>
        <w:t>表示无风险或风险可忽略点位；</w:t>
      </w:r>
      <w:r>
        <w:rPr>
          <w:noProof/>
          <w:sz w:val="20"/>
          <w:szCs w:val="20"/>
        </w:rPr>
        <w:drawing>
          <wp:inline distT="0" distB="0" distL="0" distR="0" wp14:anchorId="4DF5D416" wp14:editId="6AD63DFC">
            <wp:extent cx="118745" cy="107950"/>
            <wp:effectExtent l="0" t="0" r="0" b="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18745" cy="107950"/>
                    </a:xfrm>
                    <a:prstGeom prst="rect">
                      <a:avLst/>
                    </a:prstGeom>
                  </pic:spPr>
                </pic:pic>
              </a:graphicData>
            </a:graphic>
          </wp:inline>
        </w:drawing>
      </w:r>
      <w:r>
        <w:rPr>
          <w:rFonts w:hAnsi="宋体"/>
          <w:sz w:val="20"/>
          <w:szCs w:val="20"/>
        </w:rPr>
        <w:t>表示低风险点位；</w:t>
      </w:r>
      <w:r>
        <w:rPr>
          <w:noProof/>
          <w:sz w:val="20"/>
          <w:szCs w:val="20"/>
        </w:rPr>
        <w:drawing>
          <wp:inline distT="0" distB="0" distL="0" distR="0" wp14:anchorId="3814DF43" wp14:editId="13C5EAC7">
            <wp:extent cx="118745" cy="109220"/>
            <wp:effectExtent l="0" t="0" r="0" b="0"/>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18745" cy="109220"/>
                    </a:xfrm>
                    <a:prstGeom prst="rect">
                      <a:avLst/>
                    </a:prstGeom>
                  </pic:spPr>
                </pic:pic>
              </a:graphicData>
            </a:graphic>
          </wp:inline>
        </w:drawing>
      </w:r>
      <w:r>
        <w:rPr>
          <w:rFonts w:hAnsi="宋体"/>
          <w:sz w:val="20"/>
          <w:szCs w:val="20"/>
        </w:rPr>
        <w:t>表示中风险点位；</w:t>
      </w:r>
    </w:p>
    <w:p w14:paraId="31E0D4D6" w14:textId="77777777" w:rsidR="00B752A8" w:rsidRDefault="00C46237">
      <w:pPr>
        <w:ind w:firstLineChars="400" w:firstLine="800"/>
        <w:rPr>
          <w:sz w:val="20"/>
          <w:szCs w:val="20"/>
        </w:rPr>
      </w:pPr>
      <w:r>
        <w:rPr>
          <w:noProof/>
          <w:sz w:val="20"/>
          <w:szCs w:val="20"/>
        </w:rPr>
        <w:drawing>
          <wp:inline distT="0" distB="0" distL="0" distR="0" wp14:anchorId="2ACC9B2D" wp14:editId="0669E0BF">
            <wp:extent cx="118745" cy="10922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18745" cy="109220"/>
                    </a:xfrm>
                    <a:prstGeom prst="rect">
                      <a:avLst/>
                    </a:prstGeom>
                  </pic:spPr>
                </pic:pic>
              </a:graphicData>
            </a:graphic>
          </wp:inline>
        </w:drawing>
      </w:r>
      <w:r>
        <w:rPr>
          <w:rFonts w:hAnsi="宋体"/>
          <w:sz w:val="20"/>
          <w:szCs w:val="20"/>
        </w:rPr>
        <w:t>表示高风险点位；</w:t>
      </w:r>
      <w:r>
        <w:rPr>
          <w:noProof/>
          <w:sz w:val="20"/>
          <w:szCs w:val="20"/>
        </w:rPr>
        <w:drawing>
          <wp:inline distT="0" distB="0" distL="0" distR="0" wp14:anchorId="26DFB93C" wp14:editId="6FD1EEF6">
            <wp:extent cx="347345" cy="195580"/>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47345" cy="195580"/>
                    </a:xfrm>
                    <a:prstGeom prst="rect">
                      <a:avLst/>
                    </a:prstGeom>
                  </pic:spPr>
                </pic:pic>
              </a:graphicData>
            </a:graphic>
          </wp:inline>
        </w:drawing>
      </w:r>
      <w:r>
        <w:rPr>
          <w:rFonts w:hAnsi="宋体"/>
          <w:sz w:val="20"/>
          <w:szCs w:val="20"/>
        </w:rPr>
        <w:t>表示</w:t>
      </w:r>
      <w:proofErr w:type="gramStart"/>
      <w:r>
        <w:rPr>
          <w:rFonts w:hAnsi="宋体"/>
          <w:sz w:val="20"/>
          <w:szCs w:val="20"/>
        </w:rPr>
        <w:t>待评价</w:t>
      </w:r>
      <w:proofErr w:type="gramEnd"/>
      <w:r>
        <w:rPr>
          <w:rFonts w:hAnsi="宋体"/>
          <w:sz w:val="20"/>
          <w:szCs w:val="20"/>
        </w:rPr>
        <w:t>单元范围；</w:t>
      </w:r>
      <w:r>
        <w:rPr>
          <w:noProof/>
          <w:sz w:val="20"/>
          <w:szCs w:val="20"/>
        </w:rPr>
        <w:drawing>
          <wp:inline distT="0" distB="0" distL="0" distR="0" wp14:anchorId="63C94E19" wp14:editId="3CC6034D">
            <wp:extent cx="323215" cy="169545"/>
            <wp:effectExtent l="0" t="0" r="0"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pic:cNvPicPr>
                      <a:picLocks noChangeAspect="1"/>
                    </pic:cNvPicPr>
                  </pic:nvPicPr>
                  <pic:blipFill>
                    <a:blip r:embed="rId27" cstate="print">
                      <a:extLst>
                        <a:ext uri="{28A0092B-C50C-407E-A947-70E740481C1C}">
                          <a14:useLocalDpi xmlns:a14="http://schemas.microsoft.com/office/drawing/2010/main" val="0"/>
                        </a:ext>
                      </a:extLst>
                    </a:blip>
                    <a:stretch>
                      <a:fillRect/>
                    </a:stretch>
                  </pic:blipFill>
                  <pic:spPr>
                    <a:xfrm>
                      <a:off x="0" y="0"/>
                      <a:ext cx="323215" cy="169545"/>
                    </a:xfrm>
                    <a:prstGeom prst="rect">
                      <a:avLst/>
                    </a:prstGeom>
                  </pic:spPr>
                </pic:pic>
              </a:graphicData>
            </a:graphic>
          </wp:inline>
        </w:drawing>
      </w:r>
      <w:r>
        <w:rPr>
          <w:rFonts w:hAnsi="宋体"/>
          <w:sz w:val="20"/>
          <w:szCs w:val="20"/>
        </w:rPr>
        <w:t>表示耕地图斑范围；</w:t>
      </w:r>
    </w:p>
    <w:p w14:paraId="1951E744" w14:textId="77777777" w:rsidR="00B752A8" w:rsidRDefault="00C46237">
      <w:pPr>
        <w:ind w:firstLineChars="400" w:firstLine="800"/>
        <w:rPr>
          <w:sz w:val="20"/>
          <w:szCs w:val="20"/>
        </w:rPr>
      </w:pPr>
      <w:r>
        <w:rPr>
          <w:noProof/>
          <w:sz w:val="20"/>
          <w:szCs w:val="20"/>
        </w:rPr>
        <w:drawing>
          <wp:inline distT="0" distB="0" distL="0" distR="0" wp14:anchorId="1379823C" wp14:editId="3785E26F">
            <wp:extent cx="269875" cy="15240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70244" cy="152400"/>
                    </a:xfrm>
                    <a:prstGeom prst="rect">
                      <a:avLst/>
                    </a:prstGeom>
                  </pic:spPr>
                </pic:pic>
              </a:graphicData>
            </a:graphic>
          </wp:inline>
        </w:drawing>
      </w:r>
      <w:r>
        <w:rPr>
          <w:rFonts w:hAnsi="宋体"/>
          <w:sz w:val="20"/>
          <w:szCs w:val="20"/>
        </w:rPr>
        <w:t>表示评价后无风险或风险可忽略区域；</w:t>
      </w:r>
      <w:r>
        <w:rPr>
          <w:noProof/>
          <w:sz w:val="20"/>
          <w:szCs w:val="20"/>
        </w:rPr>
        <w:drawing>
          <wp:inline distT="0" distB="0" distL="0" distR="0" wp14:anchorId="264C7D5D" wp14:editId="5F7225BC">
            <wp:extent cx="268605" cy="151130"/>
            <wp:effectExtent l="0" t="0" r="0" b="0"/>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68605" cy="151130"/>
                    </a:xfrm>
                    <a:prstGeom prst="rect">
                      <a:avLst/>
                    </a:prstGeom>
                  </pic:spPr>
                </pic:pic>
              </a:graphicData>
            </a:graphic>
          </wp:inline>
        </w:drawing>
      </w:r>
      <w:r>
        <w:rPr>
          <w:rFonts w:hAnsi="宋体"/>
          <w:sz w:val="20"/>
          <w:szCs w:val="20"/>
        </w:rPr>
        <w:t>表示评价后低风险区域；</w:t>
      </w:r>
    </w:p>
    <w:p w14:paraId="7621E727" w14:textId="77777777" w:rsidR="00B752A8" w:rsidRDefault="00C46237">
      <w:pPr>
        <w:ind w:firstLineChars="400" w:firstLine="800"/>
        <w:rPr>
          <w:sz w:val="20"/>
          <w:szCs w:val="20"/>
        </w:rPr>
      </w:pPr>
      <w:r>
        <w:rPr>
          <w:noProof/>
          <w:sz w:val="20"/>
          <w:szCs w:val="20"/>
        </w:rPr>
        <w:drawing>
          <wp:inline distT="0" distB="0" distL="0" distR="0" wp14:anchorId="391E8C0B" wp14:editId="63EF474E">
            <wp:extent cx="271780" cy="151130"/>
            <wp:effectExtent l="0" t="0" r="0" b="0"/>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71780" cy="151130"/>
                    </a:xfrm>
                    <a:prstGeom prst="rect">
                      <a:avLst/>
                    </a:prstGeom>
                  </pic:spPr>
                </pic:pic>
              </a:graphicData>
            </a:graphic>
          </wp:inline>
        </w:drawing>
      </w:r>
      <w:r>
        <w:rPr>
          <w:rFonts w:hAnsi="宋体"/>
          <w:sz w:val="20"/>
          <w:szCs w:val="20"/>
        </w:rPr>
        <w:t>表示评价后中风险；</w:t>
      </w:r>
      <w:r>
        <w:rPr>
          <w:noProof/>
          <w:sz w:val="20"/>
          <w:szCs w:val="20"/>
        </w:rPr>
        <w:drawing>
          <wp:inline distT="0" distB="0" distL="0" distR="0" wp14:anchorId="6D8F55D9" wp14:editId="2EDD4FDB">
            <wp:extent cx="273050" cy="151130"/>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73391" cy="151200"/>
                    </a:xfrm>
                    <a:prstGeom prst="rect">
                      <a:avLst/>
                    </a:prstGeom>
                  </pic:spPr>
                </pic:pic>
              </a:graphicData>
            </a:graphic>
          </wp:inline>
        </w:drawing>
      </w:r>
      <w:r>
        <w:rPr>
          <w:rFonts w:hAnsi="宋体"/>
          <w:sz w:val="20"/>
          <w:szCs w:val="20"/>
        </w:rPr>
        <w:t>表示评价后高风险区域。</w:t>
      </w:r>
    </w:p>
    <w:p w14:paraId="0DADC000" w14:textId="77777777" w:rsidR="00B752A8" w:rsidRDefault="00C46237">
      <w:pPr>
        <w:spacing w:beforeLines="50" w:before="156"/>
        <w:ind w:firstLineChars="200" w:firstLine="420"/>
      </w:pPr>
      <w:r>
        <w:t>在镉、汞、砷、铅、</w:t>
      </w:r>
      <w:proofErr w:type="gramStart"/>
      <w:r>
        <w:t>铬单因子</w:t>
      </w:r>
      <w:proofErr w:type="gramEnd"/>
      <w:r>
        <w:rPr>
          <w:rFonts w:hint="eastAsia"/>
        </w:rPr>
        <w:t>风险单元</w:t>
      </w:r>
      <w:r>
        <w:t>划分的基础上，将以上因子叠合形成新的</w:t>
      </w:r>
      <w:r>
        <w:rPr>
          <w:rFonts w:hint="eastAsia"/>
        </w:rPr>
        <w:t>风险单元</w:t>
      </w:r>
      <w:r>
        <w:t>，</w:t>
      </w:r>
      <w:r>
        <w:rPr>
          <w:rFonts w:hint="eastAsia"/>
        </w:rPr>
        <w:t>风险单元的风险水平</w:t>
      </w:r>
      <w:r>
        <w:t>按</w:t>
      </w:r>
      <w:r>
        <w:rPr>
          <w:rFonts w:hint="eastAsia"/>
        </w:rPr>
        <w:t>最高风险</w:t>
      </w:r>
      <w:r>
        <w:t>确定。</w:t>
      </w:r>
    </w:p>
    <w:p w14:paraId="251E4366" w14:textId="77777777" w:rsidR="003F137C" w:rsidRPr="003F137C" w:rsidRDefault="003F137C" w:rsidP="003F137C">
      <w:pPr>
        <w:spacing w:beforeLines="50" w:before="156"/>
        <w:outlineLvl w:val="1"/>
        <w:rPr>
          <w:rFonts w:ascii="黑体" w:eastAsia="黑体" w:hAnsi="黑体" w:cs="黑体"/>
        </w:rPr>
      </w:pPr>
      <w:r w:rsidRPr="003F137C">
        <w:rPr>
          <w:rFonts w:ascii="黑体" w:eastAsia="黑体" w:hAnsi="黑体" w:cs="黑体" w:hint="eastAsia"/>
        </w:rPr>
        <w:t>6</w:t>
      </w:r>
      <w:r w:rsidRPr="003F137C">
        <w:rPr>
          <w:rFonts w:ascii="黑体" w:eastAsia="黑体" w:hAnsi="黑体" w:cs="黑体"/>
        </w:rPr>
        <w:t>.</w:t>
      </w:r>
      <w:r>
        <w:rPr>
          <w:rFonts w:ascii="黑体" w:eastAsia="黑体" w:hAnsi="黑体" w:cs="黑体"/>
        </w:rPr>
        <w:t>6</w:t>
      </w:r>
      <w:r w:rsidRPr="003F137C">
        <w:rPr>
          <w:rFonts w:ascii="黑体" w:eastAsia="黑体" w:hAnsi="黑体" w:cs="黑体"/>
        </w:rPr>
        <w:t xml:space="preserve">  </w:t>
      </w:r>
      <w:r w:rsidRPr="003F137C">
        <w:rPr>
          <w:rFonts w:ascii="黑体" w:eastAsia="黑体" w:hAnsi="黑体" w:cs="黑体" w:hint="eastAsia"/>
        </w:rPr>
        <w:t>不确定性分析</w:t>
      </w:r>
    </w:p>
    <w:p w14:paraId="150C7999" w14:textId="77777777" w:rsidR="003F137C" w:rsidRDefault="003F137C" w:rsidP="003F137C">
      <w:pPr>
        <w:spacing w:beforeLines="50" w:before="156"/>
        <w:ind w:firstLineChars="200" w:firstLine="420"/>
      </w:pPr>
      <w:r w:rsidRPr="003F137C">
        <w:rPr>
          <w:rFonts w:hint="eastAsia"/>
        </w:rPr>
        <w:t>分析造成</w:t>
      </w:r>
      <w:r>
        <w:rPr>
          <w:rFonts w:hint="eastAsia"/>
        </w:rPr>
        <w:t>食用农产品产地</w:t>
      </w:r>
      <w:r w:rsidRPr="003F137C">
        <w:rPr>
          <w:rFonts w:hint="eastAsia"/>
        </w:rPr>
        <w:t>重金属风险</w:t>
      </w:r>
      <w:r>
        <w:rPr>
          <w:rFonts w:hint="eastAsia"/>
        </w:rPr>
        <w:t>评估</w:t>
      </w:r>
      <w:r w:rsidRPr="003F137C">
        <w:rPr>
          <w:rFonts w:hint="eastAsia"/>
        </w:rPr>
        <w:t>结果不确定性的主要来源，包括有关资料和数据充分度、</w:t>
      </w:r>
      <w:r>
        <w:rPr>
          <w:rFonts w:hint="eastAsia"/>
        </w:rPr>
        <w:t>评估</w:t>
      </w:r>
      <w:r w:rsidRPr="003F137C">
        <w:rPr>
          <w:rFonts w:hint="eastAsia"/>
        </w:rPr>
        <w:t>指标及其参数取值的适宜度等多个方面。分析评估过程中遇到的限制条件、欠缺信息等，及其对评估结论的影响。</w:t>
      </w:r>
    </w:p>
    <w:p w14:paraId="5DAB8B27" w14:textId="41A79AE2" w:rsidR="00B752A8" w:rsidRDefault="00C46237">
      <w:pPr>
        <w:spacing w:beforeLines="50" w:before="156"/>
        <w:outlineLvl w:val="1"/>
        <w:rPr>
          <w:rFonts w:ascii="黑体" w:eastAsia="黑体" w:hAnsi="黑体" w:cs="黑体"/>
        </w:rPr>
      </w:pPr>
      <w:r>
        <w:rPr>
          <w:rFonts w:ascii="黑体" w:eastAsia="黑体" w:hAnsi="黑体" w:cs="黑体" w:hint="eastAsia"/>
        </w:rPr>
        <w:t>6.</w:t>
      </w:r>
      <w:r w:rsidR="00F92F41">
        <w:rPr>
          <w:rFonts w:ascii="黑体" w:eastAsia="黑体" w:hAnsi="黑体" w:cs="黑体"/>
        </w:rPr>
        <w:t>7</w:t>
      </w:r>
      <w:r>
        <w:rPr>
          <w:rFonts w:ascii="黑体" w:eastAsia="黑体" w:hAnsi="黑体" w:cs="黑体" w:hint="eastAsia"/>
        </w:rPr>
        <w:t xml:space="preserve">  风险管控策略</w:t>
      </w:r>
    </w:p>
    <w:p w14:paraId="498F3201" w14:textId="392444CA" w:rsidR="003F137C" w:rsidRPr="003F137C" w:rsidRDefault="003F137C" w:rsidP="003F137C">
      <w:pPr>
        <w:ind w:firstLineChars="200" w:firstLine="420"/>
      </w:pPr>
      <w:r w:rsidRPr="003F137C">
        <w:rPr>
          <w:rFonts w:hint="eastAsia"/>
        </w:rPr>
        <w:t>食用农产品产地重金属风险水平与风险管控策略对应表</w:t>
      </w:r>
      <w:r>
        <w:rPr>
          <w:rFonts w:hint="eastAsia"/>
        </w:rPr>
        <w:t>见表</w:t>
      </w:r>
      <w:r>
        <w:rPr>
          <w:rFonts w:hint="eastAsia"/>
        </w:rPr>
        <w:t>4</w:t>
      </w:r>
      <w:r>
        <w:rPr>
          <w:rFonts w:hint="eastAsia"/>
        </w:rPr>
        <w:t>。</w:t>
      </w:r>
    </w:p>
    <w:p w14:paraId="148DBA40" w14:textId="3A550DE7" w:rsidR="004B176C" w:rsidRDefault="004B176C" w:rsidP="004B176C">
      <w:pPr>
        <w:spacing w:beforeLines="50" w:before="156"/>
        <w:jc w:val="center"/>
        <w:rPr>
          <w:rFonts w:ascii="黑体" w:eastAsia="黑体" w:hAnsi="黑体" w:cs="黑体"/>
        </w:rPr>
      </w:pPr>
      <w:r>
        <w:rPr>
          <w:rFonts w:ascii="黑体" w:eastAsia="黑体" w:hAnsi="黑体" w:cs="黑体" w:hint="eastAsia"/>
        </w:rPr>
        <w:t>表</w:t>
      </w:r>
      <w:r>
        <w:rPr>
          <w:rFonts w:ascii="黑体" w:eastAsia="黑体" w:hAnsi="黑体" w:cs="黑体"/>
        </w:rPr>
        <w:t xml:space="preserve">4  </w:t>
      </w:r>
      <w:r>
        <w:rPr>
          <w:rFonts w:ascii="黑体" w:eastAsia="黑体" w:hAnsi="黑体" w:cs="黑体" w:hint="eastAsia"/>
        </w:rPr>
        <w:t>食用农产品产地重金属风险水平与风险管控策略对应表</w:t>
      </w:r>
    </w:p>
    <w:tbl>
      <w:tblPr>
        <w:tblStyle w:val="af0"/>
        <w:tblW w:w="5000" w:type="pct"/>
        <w:tblLook w:val="04A0" w:firstRow="1" w:lastRow="0" w:firstColumn="1" w:lastColumn="0" w:noHBand="0" w:noVBand="1"/>
      </w:tblPr>
      <w:tblGrid>
        <w:gridCol w:w="1525"/>
        <w:gridCol w:w="6997"/>
      </w:tblGrid>
      <w:tr w:rsidR="00B752A8" w14:paraId="147ECD0F" w14:textId="77777777" w:rsidTr="00B42367">
        <w:trPr>
          <w:tblHeader/>
        </w:trPr>
        <w:tc>
          <w:tcPr>
            <w:tcW w:w="895" w:type="pct"/>
            <w:vAlign w:val="center"/>
          </w:tcPr>
          <w:p w14:paraId="19063821" w14:textId="28526808" w:rsidR="00B752A8" w:rsidRDefault="00C46237">
            <w:pPr>
              <w:widowControl/>
              <w:spacing w:line="276" w:lineRule="auto"/>
              <w:jc w:val="center"/>
              <w:rPr>
                <w:b/>
                <w:bCs/>
                <w:sz w:val="20"/>
                <w:szCs w:val="20"/>
              </w:rPr>
            </w:pPr>
            <w:r>
              <w:rPr>
                <w:rFonts w:hint="eastAsia"/>
                <w:b/>
                <w:bCs/>
                <w:sz w:val="20"/>
                <w:szCs w:val="20"/>
              </w:rPr>
              <w:t>风险水平</w:t>
            </w:r>
          </w:p>
        </w:tc>
        <w:tc>
          <w:tcPr>
            <w:tcW w:w="4105" w:type="pct"/>
          </w:tcPr>
          <w:p w14:paraId="1EA3FF1D" w14:textId="77777777" w:rsidR="00B752A8" w:rsidRDefault="00C46237">
            <w:pPr>
              <w:widowControl/>
              <w:spacing w:line="276" w:lineRule="auto"/>
              <w:rPr>
                <w:b/>
                <w:bCs/>
                <w:sz w:val="20"/>
                <w:szCs w:val="20"/>
              </w:rPr>
            </w:pPr>
            <w:r>
              <w:rPr>
                <w:rFonts w:hint="eastAsia"/>
                <w:b/>
                <w:bCs/>
                <w:sz w:val="20"/>
                <w:szCs w:val="20"/>
              </w:rPr>
              <w:t>风险管控策略</w:t>
            </w:r>
          </w:p>
        </w:tc>
      </w:tr>
      <w:tr w:rsidR="00B752A8" w14:paraId="5FFCC01D" w14:textId="77777777" w:rsidTr="00B42367">
        <w:tc>
          <w:tcPr>
            <w:tcW w:w="895" w:type="pct"/>
            <w:vAlign w:val="center"/>
          </w:tcPr>
          <w:p w14:paraId="5F8D83E7" w14:textId="77777777" w:rsidR="00B752A8" w:rsidRDefault="00C46237">
            <w:pPr>
              <w:widowControl/>
              <w:spacing w:line="276" w:lineRule="auto"/>
              <w:jc w:val="center"/>
              <w:rPr>
                <w:rFonts w:cs="Arial Unicode MS"/>
                <w:kern w:val="0"/>
                <w:sz w:val="20"/>
                <w:szCs w:val="20"/>
              </w:rPr>
            </w:pPr>
            <w:r>
              <w:rPr>
                <w:rFonts w:cs="Arial Unicode MS" w:hint="eastAsia"/>
                <w:kern w:val="0"/>
                <w:sz w:val="20"/>
                <w:szCs w:val="20"/>
              </w:rPr>
              <w:t>无风险或</w:t>
            </w:r>
          </w:p>
          <w:p w14:paraId="530A0B62" w14:textId="77777777" w:rsidR="00B752A8" w:rsidRDefault="00C46237">
            <w:pPr>
              <w:widowControl/>
              <w:spacing w:line="276" w:lineRule="auto"/>
              <w:jc w:val="center"/>
              <w:rPr>
                <w:sz w:val="20"/>
                <w:szCs w:val="20"/>
              </w:rPr>
            </w:pPr>
            <w:r>
              <w:rPr>
                <w:rFonts w:cs="Arial Unicode MS" w:hint="eastAsia"/>
                <w:kern w:val="0"/>
                <w:sz w:val="20"/>
                <w:szCs w:val="20"/>
              </w:rPr>
              <w:t>风险可忽略</w:t>
            </w:r>
          </w:p>
        </w:tc>
        <w:tc>
          <w:tcPr>
            <w:tcW w:w="4105" w:type="pct"/>
          </w:tcPr>
          <w:p w14:paraId="43639FF8" w14:textId="7A86552E" w:rsidR="00B752A8" w:rsidRDefault="00C46237">
            <w:pPr>
              <w:widowControl/>
              <w:spacing w:line="276" w:lineRule="auto"/>
              <w:rPr>
                <w:sz w:val="20"/>
                <w:szCs w:val="20"/>
              </w:rPr>
            </w:pPr>
            <w:r>
              <w:rPr>
                <w:rFonts w:hint="eastAsia"/>
                <w:sz w:val="20"/>
                <w:szCs w:val="20"/>
              </w:rPr>
              <w:t>坚持最严格的耕地保护制度，防止新增污染。对于安全利用类或严格管</w:t>
            </w:r>
            <w:proofErr w:type="gramStart"/>
            <w:r>
              <w:rPr>
                <w:rFonts w:hint="eastAsia"/>
                <w:sz w:val="20"/>
                <w:szCs w:val="20"/>
              </w:rPr>
              <w:t>控类耕地</w:t>
            </w:r>
            <w:proofErr w:type="gramEnd"/>
            <w:r>
              <w:rPr>
                <w:rFonts w:hint="eastAsia"/>
                <w:sz w:val="20"/>
                <w:szCs w:val="20"/>
              </w:rPr>
              <w:t>上的无风险或风险可忽略的风险单元，可</w:t>
            </w:r>
            <w:r w:rsidR="00B42367">
              <w:rPr>
                <w:rFonts w:hint="eastAsia"/>
                <w:sz w:val="20"/>
                <w:szCs w:val="20"/>
              </w:rPr>
              <w:t>考虑在耕地土壤环境质量类别动态更新时，</w:t>
            </w:r>
            <w:r>
              <w:rPr>
                <w:rFonts w:hint="eastAsia"/>
                <w:sz w:val="20"/>
                <w:szCs w:val="20"/>
              </w:rPr>
              <w:t>调整为优先保护类耕地</w:t>
            </w:r>
            <w:r w:rsidR="00D17851">
              <w:rPr>
                <w:rFonts w:hint="eastAsia"/>
                <w:sz w:val="20"/>
                <w:szCs w:val="20"/>
              </w:rPr>
              <w:t>。</w:t>
            </w:r>
          </w:p>
        </w:tc>
      </w:tr>
      <w:tr w:rsidR="00B752A8" w14:paraId="306453F8" w14:textId="77777777" w:rsidTr="00B42367">
        <w:tc>
          <w:tcPr>
            <w:tcW w:w="895" w:type="pct"/>
            <w:vAlign w:val="center"/>
          </w:tcPr>
          <w:p w14:paraId="7E62FC43" w14:textId="77777777" w:rsidR="00B752A8" w:rsidRDefault="00C46237">
            <w:pPr>
              <w:widowControl/>
              <w:spacing w:line="276" w:lineRule="auto"/>
              <w:jc w:val="center"/>
              <w:rPr>
                <w:sz w:val="20"/>
                <w:szCs w:val="20"/>
              </w:rPr>
            </w:pPr>
            <w:r>
              <w:rPr>
                <w:rFonts w:cs="Arial Unicode MS" w:hint="eastAsia"/>
                <w:kern w:val="0"/>
                <w:sz w:val="20"/>
                <w:szCs w:val="20"/>
              </w:rPr>
              <w:lastRenderedPageBreak/>
              <w:t>低风险</w:t>
            </w:r>
          </w:p>
        </w:tc>
        <w:tc>
          <w:tcPr>
            <w:tcW w:w="4105" w:type="pct"/>
          </w:tcPr>
          <w:p w14:paraId="36748D7A" w14:textId="3C928105" w:rsidR="00B752A8" w:rsidRDefault="00D17851">
            <w:pPr>
              <w:widowControl/>
              <w:spacing w:line="276" w:lineRule="auto"/>
              <w:rPr>
                <w:sz w:val="20"/>
                <w:szCs w:val="20"/>
              </w:rPr>
            </w:pPr>
            <w:r>
              <w:rPr>
                <w:rFonts w:hint="eastAsia"/>
                <w:sz w:val="20"/>
                <w:szCs w:val="20"/>
              </w:rPr>
              <w:t>采取</w:t>
            </w:r>
            <w:r w:rsidR="00C46237">
              <w:rPr>
                <w:rFonts w:hint="eastAsia"/>
                <w:sz w:val="20"/>
                <w:szCs w:val="20"/>
              </w:rPr>
              <w:t>农艺调控、替代种植</w:t>
            </w:r>
            <w:r>
              <w:rPr>
                <w:rFonts w:hint="eastAsia"/>
                <w:sz w:val="20"/>
                <w:szCs w:val="20"/>
              </w:rPr>
              <w:t>等风险管控措施</w:t>
            </w:r>
            <w:r w:rsidR="00C46237">
              <w:rPr>
                <w:rFonts w:hint="eastAsia"/>
                <w:sz w:val="20"/>
                <w:szCs w:val="20"/>
              </w:rPr>
              <w:t>，降低农产品超标风险。定期开展土壤和农产品协同监测与评价，加强对农民、农业合作社</w:t>
            </w:r>
            <w:r>
              <w:rPr>
                <w:rFonts w:hint="eastAsia"/>
                <w:sz w:val="20"/>
                <w:szCs w:val="20"/>
              </w:rPr>
              <w:t>等</w:t>
            </w:r>
            <w:r w:rsidR="00C46237">
              <w:rPr>
                <w:rFonts w:hint="eastAsia"/>
                <w:sz w:val="20"/>
                <w:szCs w:val="20"/>
              </w:rPr>
              <w:t>的技术指导与培训。对于优先保护类与严格管</w:t>
            </w:r>
            <w:proofErr w:type="gramStart"/>
            <w:r w:rsidR="00C46237">
              <w:rPr>
                <w:rFonts w:hint="eastAsia"/>
                <w:sz w:val="20"/>
                <w:szCs w:val="20"/>
              </w:rPr>
              <w:t>控类耕地</w:t>
            </w:r>
            <w:proofErr w:type="gramEnd"/>
            <w:r w:rsidR="00C46237">
              <w:rPr>
                <w:rFonts w:hint="eastAsia"/>
                <w:sz w:val="20"/>
                <w:szCs w:val="20"/>
              </w:rPr>
              <w:t>上的低风险单元，</w:t>
            </w:r>
            <w:r w:rsidRPr="00D17851">
              <w:rPr>
                <w:rFonts w:hint="eastAsia"/>
                <w:sz w:val="20"/>
                <w:szCs w:val="20"/>
              </w:rPr>
              <w:t>可考虑在耕地土壤环境质量类别动态更新时，调整为</w:t>
            </w:r>
            <w:r w:rsidR="00C46237">
              <w:rPr>
                <w:rFonts w:hint="eastAsia"/>
                <w:sz w:val="20"/>
                <w:szCs w:val="20"/>
              </w:rPr>
              <w:t>安全利用类耕地</w:t>
            </w:r>
          </w:p>
        </w:tc>
      </w:tr>
      <w:tr w:rsidR="00B752A8" w14:paraId="0187F7F1" w14:textId="77777777" w:rsidTr="00B42367">
        <w:tc>
          <w:tcPr>
            <w:tcW w:w="895" w:type="pct"/>
            <w:vAlign w:val="center"/>
          </w:tcPr>
          <w:p w14:paraId="13F611FC" w14:textId="77777777" w:rsidR="00B752A8" w:rsidRDefault="00C46237">
            <w:pPr>
              <w:widowControl/>
              <w:spacing w:line="276" w:lineRule="auto"/>
              <w:jc w:val="center"/>
              <w:rPr>
                <w:sz w:val="20"/>
                <w:szCs w:val="20"/>
              </w:rPr>
            </w:pPr>
            <w:r>
              <w:rPr>
                <w:rFonts w:cs="Arial Unicode MS" w:hint="eastAsia"/>
                <w:kern w:val="0"/>
                <w:sz w:val="20"/>
                <w:szCs w:val="20"/>
              </w:rPr>
              <w:t>中风险</w:t>
            </w:r>
          </w:p>
        </w:tc>
        <w:tc>
          <w:tcPr>
            <w:tcW w:w="4105" w:type="pct"/>
          </w:tcPr>
          <w:p w14:paraId="621CAF8F" w14:textId="4DA9E084" w:rsidR="00B752A8" w:rsidRDefault="00C46237">
            <w:pPr>
              <w:widowControl/>
              <w:spacing w:line="276" w:lineRule="auto"/>
              <w:rPr>
                <w:sz w:val="20"/>
                <w:szCs w:val="20"/>
              </w:rPr>
            </w:pPr>
            <w:r>
              <w:rPr>
                <w:rFonts w:hint="eastAsia"/>
                <w:sz w:val="20"/>
                <w:szCs w:val="20"/>
              </w:rPr>
              <w:t>在低风险单元风险管控</w:t>
            </w:r>
            <w:r w:rsidR="00D17851">
              <w:rPr>
                <w:rFonts w:hint="eastAsia"/>
                <w:sz w:val="20"/>
                <w:szCs w:val="20"/>
              </w:rPr>
              <w:t>措施</w:t>
            </w:r>
            <w:r>
              <w:rPr>
                <w:rFonts w:hint="eastAsia"/>
                <w:sz w:val="20"/>
                <w:szCs w:val="20"/>
              </w:rPr>
              <w:t>的基础上，考虑</w:t>
            </w:r>
            <w:r w:rsidR="00BD584C">
              <w:rPr>
                <w:rFonts w:hint="eastAsia"/>
                <w:sz w:val="20"/>
                <w:szCs w:val="20"/>
              </w:rPr>
              <w:t>增施</w:t>
            </w:r>
            <w:r>
              <w:rPr>
                <w:rFonts w:hint="eastAsia"/>
                <w:sz w:val="20"/>
                <w:szCs w:val="20"/>
              </w:rPr>
              <w:t>修复类措施。修复活动应当优先采取不影响农业生产、不降低土壤生产功能的生物修复措施，阻断或减少污染物进入农产品可食部分。对于优先保护类或严格管</w:t>
            </w:r>
            <w:proofErr w:type="gramStart"/>
            <w:r>
              <w:rPr>
                <w:rFonts w:hint="eastAsia"/>
                <w:sz w:val="20"/>
                <w:szCs w:val="20"/>
              </w:rPr>
              <w:t>控类耕地</w:t>
            </w:r>
            <w:proofErr w:type="gramEnd"/>
            <w:r>
              <w:rPr>
                <w:rFonts w:hint="eastAsia"/>
                <w:sz w:val="20"/>
                <w:szCs w:val="20"/>
              </w:rPr>
              <w:t>上的中风险单元，</w:t>
            </w:r>
            <w:r w:rsidR="00D17851" w:rsidRPr="00D17851">
              <w:rPr>
                <w:rFonts w:hint="eastAsia"/>
                <w:sz w:val="20"/>
                <w:szCs w:val="20"/>
              </w:rPr>
              <w:t>可考虑在耕地土壤环境质量类别动态更新时，调整为</w:t>
            </w:r>
            <w:r>
              <w:rPr>
                <w:rFonts w:hint="eastAsia"/>
                <w:sz w:val="20"/>
                <w:szCs w:val="20"/>
              </w:rPr>
              <w:t>安全利用类耕地</w:t>
            </w:r>
          </w:p>
        </w:tc>
      </w:tr>
      <w:tr w:rsidR="00B752A8" w14:paraId="50363BE3" w14:textId="77777777" w:rsidTr="00B42367">
        <w:tc>
          <w:tcPr>
            <w:tcW w:w="895" w:type="pct"/>
            <w:vAlign w:val="center"/>
          </w:tcPr>
          <w:p w14:paraId="583F76BF" w14:textId="77777777" w:rsidR="00B752A8" w:rsidRDefault="00C46237">
            <w:pPr>
              <w:widowControl/>
              <w:spacing w:line="276" w:lineRule="auto"/>
              <w:jc w:val="center"/>
              <w:rPr>
                <w:sz w:val="20"/>
                <w:szCs w:val="20"/>
              </w:rPr>
            </w:pPr>
            <w:r>
              <w:rPr>
                <w:rFonts w:cs="Arial Unicode MS" w:hint="eastAsia"/>
                <w:kern w:val="0"/>
                <w:sz w:val="20"/>
                <w:szCs w:val="20"/>
              </w:rPr>
              <w:t>高风险</w:t>
            </w:r>
          </w:p>
        </w:tc>
        <w:tc>
          <w:tcPr>
            <w:tcW w:w="4105" w:type="pct"/>
          </w:tcPr>
          <w:p w14:paraId="15BB5EF3" w14:textId="582EBB47" w:rsidR="00B752A8" w:rsidRDefault="004B176C" w:rsidP="00D17851">
            <w:pPr>
              <w:spacing w:line="276" w:lineRule="auto"/>
              <w:rPr>
                <w:sz w:val="20"/>
                <w:szCs w:val="20"/>
              </w:rPr>
            </w:pPr>
            <w:r w:rsidRPr="00D17851">
              <w:rPr>
                <w:rFonts w:hint="eastAsia"/>
                <w:sz w:val="20"/>
                <w:szCs w:val="20"/>
              </w:rPr>
              <w:t>采取调整种植结构、划定特定农产品禁止生产区域</w:t>
            </w:r>
            <w:r>
              <w:rPr>
                <w:rFonts w:hint="eastAsia"/>
                <w:sz w:val="20"/>
                <w:szCs w:val="20"/>
              </w:rPr>
              <w:t>、</w:t>
            </w:r>
            <w:r w:rsidRPr="00D17851">
              <w:rPr>
                <w:rFonts w:hint="eastAsia"/>
                <w:sz w:val="20"/>
                <w:szCs w:val="20"/>
              </w:rPr>
              <w:t>退耕还林还草、退耕还湿、轮作休耕、轮牧休牧等</w:t>
            </w:r>
            <w:r>
              <w:rPr>
                <w:rFonts w:hint="eastAsia"/>
                <w:sz w:val="20"/>
                <w:szCs w:val="20"/>
              </w:rPr>
              <w:t>严格</w:t>
            </w:r>
            <w:proofErr w:type="gramStart"/>
            <w:r>
              <w:rPr>
                <w:rFonts w:hint="eastAsia"/>
                <w:sz w:val="20"/>
                <w:szCs w:val="20"/>
              </w:rPr>
              <w:t>管控类措施</w:t>
            </w:r>
            <w:proofErr w:type="gramEnd"/>
            <w:r w:rsidR="00D17851">
              <w:rPr>
                <w:rFonts w:hint="eastAsia"/>
                <w:sz w:val="20"/>
                <w:szCs w:val="20"/>
              </w:rPr>
              <w:t>。</w:t>
            </w:r>
            <w:r>
              <w:rPr>
                <w:rFonts w:hint="eastAsia"/>
                <w:sz w:val="20"/>
                <w:szCs w:val="20"/>
              </w:rPr>
              <w:t>根据情况</w:t>
            </w:r>
            <w:r w:rsidR="00D17851" w:rsidRPr="00D17851">
              <w:rPr>
                <w:rFonts w:hint="eastAsia"/>
                <w:sz w:val="20"/>
                <w:szCs w:val="20"/>
              </w:rPr>
              <w:t>开展土壤和农产品协同监测与评价</w:t>
            </w:r>
            <w:r w:rsidR="00D17851">
              <w:rPr>
                <w:rFonts w:hint="eastAsia"/>
                <w:sz w:val="20"/>
                <w:szCs w:val="20"/>
              </w:rPr>
              <w:t>，</w:t>
            </w:r>
            <w:r w:rsidR="00D17851" w:rsidRPr="00D17851">
              <w:rPr>
                <w:rFonts w:hint="eastAsia"/>
                <w:sz w:val="20"/>
                <w:szCs w:val="20"/>
              </w:rPr>
              <w:t>加强对农民、农业合作社等的技术指导与培训</w:t>
            </w:r>
            <w:r w:rsidR="00D17851">
              <w:rPr>
                <w:rFonts w:hint="eastAsia"/>
                <w:sz w:val="20"/>
                <w:szCs w:val="20"/>
              </w:rPr>
              <w:t>。</w:t>
            </w:r>
            <w:r w:rsidR="00B42367">
              <w:rPr>
                <w:rFonts w:hint="eastAsia"/>
                <w:sz w:val="20"/>
                <w:szCs w:val="20"/>
              </w:rPr>
              <w:t>对于优先保护类或安全利用类耕地上的高风险单元，</w:t>
            </w:r>
            <w:r w:rsidR="00D17851" w:rsidRPr="00D17851">
              <w:rPr>
                <w:rFonts w:hint="eastAsia"/>
                <w:sz w:val="20"/>
                <w:szCs w:val="20"/>
              </w:rPr>
              <w:t>可考虑在耕地土壤环境质量类别动态更新时，调整为</w:t>
            </w:r>
            <w:r w:rsidR="00B42367">
              <w:rPr>
                <w:rFonts w:hint="eastAsia"/>
                <w:sz w:val="20"/>
                <w:szCs w:val="20"/>
              </w:rPr>
              <w:t>严格管</w:t>
            </w:r>
            <w:proofErr w:type="gramStart"/>
            <w:r w:rsidR="00B42367">
              <w:rPr>
                <w:rFonts w:hint="eastAsia"/>
                <w:sz w:val="20"/>
                <w:szCs w:val="20"/>
              </w:rPr>
              <w:t>控类耕地</w:t>
            </w:r>
            <w:proofErr w:type="gramEnd"/>
          </w:p>
        </w:tc>
      </w:tr>
    </w:tbl>
    <w:p w14:paraId="7792CDE3" w14:textId="22ABEFA3" w:rsidR="00B752A8" w:rsidRDefault="00C46237">
      <w:pPr>
        <w:pStyle w:val="affe"/>
        <w:tabs>
          <w:tab w:val="clear" w:pos="360"/>
        </w:tabs>
        <w:spacing w:beforeLines="100" w:before="312" w:afterLines="100" w:after="312"/>
        <w:outlineLvl w:val="0"/>
        <w:rPr>
          <w:rFonts w:hAnsi="黑体" w:cs="黑体"/>
          <w:szCs w:val="22"/>
        </w:rPr>
      </w:pPr>
      <w:r>
        <w:rPr>
          <w:rFonts w:hAnsi="黑体" w:cs="黑体" w:hint="eastAsia"/>
          <w:szCs w:val="22"/>
        </w:rPr>
        <w:t>7  风险评估报告</w:t>
      </w:r>
      <w:r w:rsidR="003F137C">
        <w:rPr>
          <w:rFonts w:hAnsi="黑体" w:cs="黑体" w:hint="eastAsia"/>
          <w:szCs w:val="22"/>
        </w:rPr>
        <w:t>撰写</w:t>
      </w:r>
    </w:p>
    <w:p w14:paraId="55F17114" w14:textId="77777777" w:rsidR="00B752A8" w:rsidRDefault="00C46237">
      <w:pPr>
        <w:spacing w:beforeLines="50" w:before="156"/>
        <w:outlineLvl w:val="1"/>
        <w:rPr>
          <w:rFonts w:ascii="黑体" w:eastAsia="黑体" w:hAnsi="黑体" w:cs="黑体"/>
        </w:rPr>
      </w:pPr>
      <w:r>
        <w:rPr>
          <w:rFonts w:ascii="黑体" w:eastAsia="黑体" w:hAnsi="黑体" w:cs="黑体" w:hint="eastAsia"/>
        </w:rPr>
        <w:t>7.1  编制要求</w:t>
      </w:r>
    </w:p>
    <w:p w14:paraId="2A8BF099" w14:textId="77777777" w:rsidR="00B752A8" w:rsidRDefault="00C46237">
      <w:pPr>
        <w:ind w:firstLineChars="200" w:firstLine="420"/>
      </w:pPr>
      <w:r>
        <w:rPr>
          <w:rFonts w:hint="eastAsia"/>
        </w:rPr>
        <w:t>在完成全部风险评估工作的基础上，总结分析风险评价过程和结论，客观评价目标区域内农产品产地重金属风险情况及其管控措施与对策，编制评价报告。</w:t>
      </w:r>
      <w:bookmarkStart w:id="31" w:name="_Toc10939"/>
      <w:bookmarkStart w:id="32" w:name="_Toc19781"/>
      <w:bookmarkStart w:id="33" w:name="_Toc4275"/>
      <w:bookmarkStart w:id="34" w:name="_Toc10479"/>
      <w:bookmarkStart w:id="35" w:name="_Toc24822"/>
      <w:bookmarkStart w:id="36" w:name="_Toc5398"/>
      <w:bookmarkStart w:id="37" w:name="_Toc1689"/>
      <w:bookmarkStart w:id="38" w:name="_Toc19848"/>
      <w:bookmarkStart w:id="39" w:name="_Toc29772"/>
      <w:bookmarkStart w:id="40" w:name="_Toc32356"/>
      <w:bookmarkStart w:id="41" w:name="_Toc4474"/>
      <w:bookmarkStart w:id="42" w:name="_Toc8289"/>
      <w:bookmarkStart w:id="43" w:name="_Toc6809"/>
      <w:bookmarkStart w:id="44" w:name="_Toc25343"/>
      <w:bookmarkStart w:id="45" w:name="_Toc21506"/>
      <w:bookmarkStart w:id="46" w:name="_Toc19760"/>
    </w:p>
    <w:p w14:paraId="5599D960" w14:textId="77777777" w:rsidR="00B752A8" w:rsidRDefault="00C46237">
      <w:pPr>
        <w:spacing w:beforeLines="50" w:before="156"/>
        <w:outlineLvl w:val="1"/>
        <w:rPr>
          <w:rFonts w:ascii="黑体" w:eastAsia="黑体" w:hAnsi="黑体" w:cs="黑体"/>
        </w:rPr>
      </w:pPr>
      <w:r>
        <w:rPr>
          <w:rFonts w:ascii="黑体" w:eastAsia="黑体" w:hAnsi="黑体" w:cs="黑体" w:hint="eastAsia"/>
        </w:rPr>
        <w:t>7.2  报告内容和格式</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30AAAE84" w14:textId="19083217" w:rsidR="00B752A8" w:rsidRDefault="00C46237" w:rsidP="00BD584C">
      <w:pPr>
        <w:pStyle w:val="af8"/>
        <w:tabs>
          <w:tab w:val="center" w:pos="4201"/>
          <w:tab w:val="right" w:leader="dot" w:pos="9298"/>
        </w:tabs>
        <w:ind w:firstLine="420"/>
      </w:pPr>
      <w:r>
        <w:rPr>
          <w:rFonts w:ascii="Times New Roman"/>
        </w:rPr>
        <w:t>报告内容主要包括</w:t>
      </w:r>
      <w:r w:rsidR="00BD584C">
        <w:rPr>
          <w:rFonts w:ascii="Times New Roman" w:hint="eastAsia"/>
        </w:rPr>
        <w:t>评估</w:t>
      </w:r>
      <w:r>
        <w:rPr>
          <w:rFonts w:ascii="Times New Roman"/>
        </w:rPr>
        <w:t>区域概况、编制依据、资料收集与分析、点位布设与采样检测、</w:t>
      </w:r>
      <w:r w:rsidR="00BD584C">
        <w:rPr>
          <w:rFonts w:ascii="Times New Roman" w:hint="eastAsia"/>
        </w:rPr>
        <w:t>划分调查单元、</w:t>
      </w:r>
      <w:r>
        <w:rPr>
          <w:rFonts w:ascii="Times New Roman"/>
        </w:rPr>
        <w:t>点位风险评估、</w:t>
      </w:r>
      <w:r w:rsidR="00BD584C">
        <w:rPr>
          <w:rFonts w:ascii="Times New Roman" w:hint="eastAsia"/>
        </w:rPr>
        <w:t>划分风险单元</w:t>
      </w:r>
      <w:r>
        <w:rPr>
          <w:rFonts w:ascii="Times New Roman"/>
        </w:rPr>
        <w:t>、</w:t>
      </w:r>
      <w:r w:rsidR="00F92F41">
        <w:rPr>
          <w:rFonts w:ascii="Times New Roman" w:hint="eastAsia"/>
        </w:rPr>
        <w:t>评估结论、</w:t>
      </w:r>
      <w:r>
        <w:rPr>
          <w:rFonts w:ascii="Times New Roman"/>
        </w:rPr>
        <w:t>不确定性分析、</w:t>
      </w:r>
      <w:r w:rsidR="00BD584C">
        <w:rPr>
          <w:rFonts w:ascii="Times New Roman"/>
        </w:rPr>
        <w:t>风险管控</w:t>
      </w:r>
      <w:r w:rsidR="00BD584C">
        <w:rPr>
          <w:rFonts w:ascii="Times New Roman" w:hint="eastAsia"/>
        </w:rPr>
        <w:t>策略建议</w:t>
      </w:r>
      <w:r w:rsidR="00BD584C">
        <w:rPr>
          <w:rFonts w:ascii="Times New Roman"/>
        </w:rPr>
        <w:t>、</w:t>
      </w:r>
      <w:r>
        <w:rPr>
          <w:rFonts w:ascii="Times New Roman"/>
        </w:rPr>
        <w:t>附件等</w:t>
      </w:r>
      <w:r w:rsidR="00A65502">
        <w:rPr>
          <w:rFonts w:ascii="Times New Roman" w:hint="eastAsia"/>
        </w:rPr>
        <w:t>内容</w:t>
      </w:r>
      <w:r>
        <w:rPr>
          <w:rFonts w:ascii="Times New Roman"/>
        </w:rPr>
        <w:t>。报告编制大纲可参考</w:t>
      </w:r>
      <w:r w:rsidR="00BD584C">
        <w:rPr>
          <w:rFonts w:ascii="Times New Roman" w:hint="eastAsia"/>
        </w:rPr>
        <w:t>本文件</w:t>
      </w:r>
      <w:r>
        <w:rPr>
          <w:rFonts w:ascii="Times New Roman"/>
        </w:rPr>
        <w:t>附录。</w:t>
      </w:r>
    </w:p>
    <w:p w14:paraId="1EF5CF67" w14:textId="77777777" w:rsidR="00B752A8" w:rsidRDefault="00C46237">
      <w:pPr>
        <w:spacing w:beforeLines="50" w:before="156"/>
        <w:outlineLvl w:val="1"/>
        <w:rPr>
          <w:rFonts w:ascii="黑体" w:eastAsia="黑体" w:hAnsi="黑体" w:cs="黑体"/>
        </w:rPr>
      </w:pPr>
      <w:bookmarkStart w:id="47" w:name="_Toc18193"/>
      <w:bookmarkStart w:id="48" w:name="_Toc3411"/>
      <w:bookmarkStart w:id="49" w:name="_Toc28271"/>
      <w:bookmarkStart w:id="50" w:name="_Toc23754"/>
      <w:bookmarkStart w:id="51" w:name="_Toc28547"/>
      <w:bookmarkStart w:id="52" w:name="_Toc10247"/>
      <w:bookmarkStart w:id="53" w:name="_Toc4097"/>
      <w:bookmarkStart w:id="54" w:name="_Toc4876"/>
      <w:bookmarkStart w:id="55" w:name="_Toc22708"/>
      <w:bookmarkStart w:id="56" w:name="_Toc19944"/>
      <w:bookmarkStart w:id="57" w:name="_Toc27641"/>
      <w:bookmarkStart w:id="58" w:name="_Toc19012"/>
      <w:bookmarkStart w:id="59" w:name="_Toc19348"/>
      <w:bookmarkStart w:id="60" w:name="_Toc9388"/>
      <w:bookmarkStart w:id="61" w:name="_Toc19650"/>
      <w:bookmarkStart w:id="62" w:name="_Toc9700"/>
      <w:r>
        <w:rPr>
          <w:rFonts w:ascii="黑体" w:eastAsia="黑体" w:hAnsi="黑体" w:cs="黑体" w:hint="eastAsia"/>
        </w:rPr>
        <w:t>7.3  结论与建议</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572266E7" w14:textId="33319C89" w:rsidR="00B752A8" w:rsidRDefault="00C46237">
      <w:pPr>
        <w:pStyle w:val="af8"/>
        <w:tabs>
          <w:tab w:val="left" w:pos="840"/>
        </w:tabs>
        <w:ind w:firstLine="420"/>
        <w:rPr>
          <w:rFonts w:ascii="黑体" w:eastAsia="黑体" w:hAnsi="黑体" w:cs="黑体"/>
        </w:rPr>
      </w:pPr>
      <w:r>
        <w:rPr>
          <w:rFonts w:hint="eastAsia"/>
          <w:szCs w:val="22"/>
        </w:rPr>
        <w:t>评价结论应明确评价区域内重金属可能的来源、污染类型与风险水平，根据风险评估结论，提出目标区域内食用农产品产地重金属风险管控</w:t>
      </w:r>
      <w:r w:rsidR="00BD584C">
        <w:rPr>
          <w:rFonts w:hint="eastAsia"/>
          <w:szCs w:val="22"/>
        </w:rPr>
        <w:t>措施的</w:t>
      </w:r>
      <w:r>
        <w:rPr>
          <w:rFonts w:hint="eastAsia"/>
          <w:szCs w:val="22"/>
        </w:rPr>
        <w:t>建议或方案。</w:t>
      </w:r>
      <w:r w:rsidR="00787C55">
        <w:pict w14:anchorId="7B4D5F4B">
          <v:line id="_x0000_s1036" style="position:absolute;left:0;text-align:left;z-index:251669504;mso-position-horizontal:center;mso-position-horizontal-relative:margin;mso-position-vertical-relative:text;mso-width-relative:page;mso-height-relative:page" from="0,78pt" to="417.5pt,78.05pt" filled="t">
            <w10:wrap anchorx="margin"/>
          </v:line>
        </w:pict>
      </w:r>
      <w:r>
        <w:rPr>
          <w:rFonts w:ascii="黑体" w:eastAsia="黑体" w:hAnsi="黑体" w:cs="黑体"/>
        </w:rPr>
        <w:br w:type="page"/>
      </w:r>
    </w:p>
    <w:p w14:paraId="5DD28681" w14:textId="77777777" w:rsidR="00B752A8" w:rsidRDefault="00C46237">
      <w:pPr>
        <w:jc w:val="center"/>
        <w:rPr>
          <w:rFonts w:ascii="黑体" w:eastAsia="黑体" w:hAnsi="黑体" w:cs="黑体"/>
        </w:rPr>
      </w:pPr>
      <w:r>
        <w:rPr>
          <w:rFonts w:ascii="黑体" w:eastAsia="黑体" w:hAnsi="黑体" w:cs="黑体" w:hint="eastAsia"/>
        </w:rPr>
        <w:lastRenderedPageBreak/>
        <w:t>附 录</w:t>
      </w:r>
    </w:p>
    <w:p w14:paraId="707EF3DA" w14:textId="77777777" w:rsidR="00B752A8" w:rsidRDefault="00C46237">
      <w:pPr>
        <w:jc w:val="center"/>
        <w:rPr>
          <w:rFonts w:ascii="黑体" w:eastAsia="黑体" w:hAnsi="黑体" w:cs="黑体"/>
        </w:rPr>
      </w:pPr>
      <w:r>
        <w:rPr>
          <w:rFonts w:ascii="黑体" w:eastAsia="黑体" w:hAnsi="黑体" w:cs="黑体" w:hint="eastAsia"/>
        </w:rPr>
        <w:t>（资料性）</w:t>
      </w:r>
    </w:p>
    <w:p w14:paraId="515DEF1A" w14:textId="77777777" w:rsidR="00B752A8" w:rsidRDefault="00C46237">
      <w:pPr>
        <w:jc w:val="center"/>
        <w:rPr>
          <w:rFonts w:ascii="黑体" w:eastAsia="黑体" w:hAnsi="黑体" w:cs="黑体"/>
        </w:rPr>
      </w:pPr>
      <w:r>
        <w:rPr>
          <w:rFonts w:ascii="黑体" w:eastAsia="黑体" w:hAnsi="黑体" w:cs="黑体" w:hint="eastAsia"/>
        </w:rPr>
        <w:t>食用农产品产地重金属风险评估报告编制大纲</w:t>
      </w:r>
    </w:p>
    <w:bookmarkEnd w:id="27"/>
    <w:p w14:paraId="1BAA8A7F" w14:textId="3A236F6A" w:rsidR="00B752A8" w:rsidRDefault="00C46237" w:rsidP="003F137C">
      <w:pPr>
        <w:pStyle w:val="aff4"/>
        <w:tabs>
          <w:tab w:val="left" w:pos="360"/>
        </w:tabs>
        <w:wordWrap/>
        <w:spacing w:before="156" w:afterLines="0"/>
        <w:outlineLvl w:val="9"/>
        <w:rPr>
          <w:rFonts w:hAnsi="黑体" w:cs="黑体"/>
        </w:rPr>
      </w:pPr>
      <w:r>
        <w:rPr>
          <w:rFonts w:hAnsi="黑体" w:cs="黑体" w:hint="eastAsia"/>
        </w:rPr>
        <w:t xml:space="preserve">1  </w:t>
      </w:r>
      <w:r w:rsidR="00A65502">
        <w:rPr>
          <w:rFonts w:hAnsi="黑体" w:cs="黑体" w:hint="eastAsia"/>
        </w:rPr>
        <w:t>评估区域</w:t>
      </w:r>
      <w:r>
        <w:rPr>
          <w:rFonts w:hAnsi="黑体" w:cs="黑体" w:hint="eastAsia"/>
        </w:rPr>
        <w:t>概况</w:t>
      </w:r>
    </w:p>
    <w:p w14:paraId="788FD9A3" w14:textId="77777777" w:rsidR="00B752A8" w:rsidRDefault="00C46237" w:rsidP="003F137C">
      <w:pPr>
        <w:adjustRightInd w:val="0"/>
        <w:snapToGrid w:val="0"/>
        <w:jc w:val="left"/>
        <w:rPr>
          <w:rFonts w:cs="宋体"/>
        </w:rPr>
      </w:pPr>
      <w:r>
        <w:rPr>
          <w:rFonts w:ascii="黑体" w:eastAsia="黑体" w:hAnsi="黑体" w:cs="黑体" w:hint="eastAsia"/>
        </w:rPr>
        <w:t>1.1</w:t>
      </w:r>
      <w:r>
        <w:rPr>
          <w:rFonts w:ascii="宋体" w:hAnsi="宋体" w:cs="宋体" w:hint="eastAsia"/>
        </w:rPr>
        <w:t xml:space="preserve">  基本情况</w:t>
      </w:r>
    </w:p>
    <w:p w14:paraId="419D4890" w14:textId="77777777" w:rsidR="00B752A8" w:rsidRDefault="00C46237" w:rsidP="003F137C">
      <w:pPr>
        <w:adjustRightInd w:val="0"/>
        <w:snapToGrid w:val="0"/>
        <w:jc w:val="left"/>
        <w:rPr>
          <w:rFonts w:cs="宋体"/>
        </w:rPr>
      </w:pPr>
      <w:r>
        <w:rPr>
          <w:rFonts w:ascii="黑体" w:eastAsia="黑体" w:hAnsi="黑体" w:cs="黑体" w:hint="eastAsia"/>
        </w:rPr>
        <w:t>1.2</w:t>
      </w:r>
      <w:r>
        <w:rPr>
          <w:rFonts w:ascii="宋体" w:hAnsi="宋体" w:cs="宋体" w:hint="eastAsia"/>
        </w:rPr>
        <w:t xml:space="preserve">  农产品产地类型、面积及分布情况</w:t>
      </w:r>
    </w:p>
    <w:p w14:paraId="49F58A03" w14:textId="77777777" w:rsidR="00B752A8" w:rsidRDefault="00C46237" w:rsidP="003F137C">
      <w:pPr>
        <w:adjustRightInd w:val="0"/>
        <w:snapToGrid w:val="0"/>
        <w:jc w:val="left"/>
        <w:rPr>
          <w:rFonts w:cs="宋体"/>
        </w:rPr>
      </w:pPr>
      <w:r>
        <w:rPr>
          <w:rFonts w:ascii="黑体" w:eastAsia="黑体" w:hAnsi="黑体" w:cs="黑体" w:hint="eastAsia"/>
        </w:rPr>
        <w:t>1.3</w:t>
      </w:r>
      <w:r>
        <w:rPr>
          <w:rFonts w:ascii="宋体" w:hAnsi="宋体" w:cs="宋体" w:hint="eastAsia"/>
        </w:rPr>
        <w:t xml:space="preserve">  历史性土壤污染调查监测情况</w:t>
      </w:r>
    </w:p>
    <w:p w14:paraId="6BBC7CCA" w14:textId="77777777" w:rsidR="00B752A8" w:rsidRDefault="00C46237" w:rsidP="003F137C">
      <w:pPr>
        <w:pStyle w:val="aff4"/>
        <w:tabs>
          <w:tab w:val="left" w:pos="360"/>
        </w:tabs>
        <w:wordWrap/>
        <w:spacing w:beforeLines="0" w:afterLines="0"/>
        <w:outlineLvl w:val="9"/>
        <w:rPr>
          <w:rFonts w:hAnsi="黑体" w:cs="黑体"/>
          <w:szCs w:val="22"/>
        </w:rPr>
      </w:pPr>
      <w:r>
        <w:rPr>
          <w:rFonts w:hAnsi="黑体" w:cs="黑体" w:hint="eastAsia"/>
          <w:szCs w:val="22"/>
        </w:rPr>
        <w:t>2  编制依据</w:t>
      </w:r>
    </w:p>
    <w:p w14:paraId="390C3A35" w14:textId="71DDE892" w:rsidR="00B752A8" w:rsidRDefault="00C46237" w:rsidP="003F137C">
      <w:pPr>
        <w:adjustRightInd w:val="0"/>
        <w:snapToGrid w:val="0"/>
        <w:ind w:firstLineChars="200" w:firstLine="420"/>
        <w:jc w:val="left"/>
        <w:rPr>
          <w:rFonts w:cs="宋体"/>
        </w:rPr>
      </w:pPr>
      <w:r>
        <w:rPr>
          <w:rFonts w:ascii="宋体" w:hAnsi="宋体" w:cs="宋体" w:hint="eastAsia"/>
        </w:rPr>
        <w:t>包括相关法律法规、标准规范、政策文件等</w:t>
      </w:r>
    </w:p>
    <w:p w14:paraId="2521E197" w14:textId="77777777" w:rsidR="00B752A8" w:rsidRDefault="00C46237" w:rsidP="003F137C">
      <w:pPr>
        <w:pStyle w:val="aff4"/>
        <w:tabs>
          <w:tab w:val="left" w:pos="360"/>
        </w:tabs>
        <w:wordWrap/>
        <w:spacing w:beforeLines="0" w:afterLines="0"/>
        <w:outlineLvl w:val="9"/>
        <w:rPr>
          <w:rFonts w:hAnsi="黑体" w:cs="黑体"/>
          <w:szCs w:val="22"/>
        </w:rPr>
      </w:pPr>
      <w:r>
        <w:rPr>
          <w:rFonts w:hAnsi="黑体" w:cs="黑体" w:hint="eastAsia"/>
          <w:szCs w:val="22"/>
        </w:rPr>
        <w:t>3  资料收集与分析</w:t>
      </w:r>
    </w:p>
    <w:p w14:paraId="1FD82BA2" w14:textId="77777777" w:rsidR="00B752A8" w:rsidRDefault="00C46237" w:rsidP="003F137C">
      <w:pPr>
        <w:adjustRightInd w:val="0"/>
        <w:snapToGrid w:val="0"/>
        <w:jc w:val="left"/>
        <w:rPr>
          <w:rFonts w:cs="宋体"/>
        </w:rPr>
      </w:pPr>
      <w:r>
        <w:rPr>
          <w:rFonts w:ascii="黑体" w:eastAsia="黑体" w:hAnsi="黑体" w:cs="黑体" w:hint="eastAsia"/>
        </w:rPr>
        <w:t xml:space="preserve">3.1  </w:t>
      </w:r>
      <w:r>
        <w:rPr>
          <w:rFonts w:ascii="宋体" w:hAnsi="宋体" w:cs="宋体" w:hint="eastAsia"/>
        </w:rPr>
        <w:t>评价区域环境状况</w:t>
      </w:r>
    </w:p>
    <w:p w14:paraId="430EAE28" w14:textId="77777777" w:rsidR="00B752A8" w:rsidRDefault="00C46237" w:rsidP="003F137C">
      <w:pPr>
        <w:adjustRightInd w:val="0"/>
        <w:snapToGrid w:val="0"/>
        <w:jc w:val="left"/>
        <w:rPr>
          <w:rFonts w:cs="宋体"/>
        </w:rPr>
      </w:pPr>
      <w:r>
        <w:rPr>
          <w:rFonts w:ascii="黑体" w:eastAsia="黑体" w:hAnsi="黑体" w:cs="黑体" w:hint="eastAsia"/>
        </w:rPr>
        <w:t>3.2</w:t>
      </w:r>
      <w:r>
        <w:rPr>
          <w:rFonts w:ascii="宋体" w:hAnsi="宋体" w:cs="宋体" w:hint="eastAsia"/>
        </w:rPr>
        <w:t xml:space="preserve">  重点污染源情况</w:t>
      </w:r>
    </w:p>
    <w:p w14:paraId="253C193D" w14:textId="77777777" w:rsidR="00B752A8" w:rsidRDefault="00C46237" w:rsidP="003F137C">
      <w:pPr>
        <w:adjustRightInd w:val="0"/>
        <w:snapToGrid w:val="0"/>
        <w:jc w:val="left"/>
        <w:rPr>
          <w:rFonts w:cs="宋体"/>
        </w:rPr>
      </w:pPr>
      <w:r>
        <w:rPr>
          <w:rFonts w:ascii="黑体" w:eastAsia="黑体" w:hAnsi="黑体" w:cs="黑体" w:hint="eastAsia"/>
        </w:rPr>
        <w:t>3.3</w:t>
      </w:r>
      <w:r>
        <w:rPr>
          <w:rFonts w:ascii="宋体" w:hAnsi="宋体" w:cs="宋体" w:hint="eastAsia"/>
        </w:rPr>
        <w:t xml:space="preserve">  土壤及农产品数据信息</w:t>
      </w:r>
    </w:p>
    <w:p w14:paraId="0DA0F16F" w14:textId="4B95E3D5" w:rsidR="00B752A8" w:rsidRDefault="00C46237" w:rsidP="003F137C">
      <w:pPr>
        <w:pStyle w:val="aff4"/>
        <w:tabs>
          <w:tab w:val="left" w:pos="360"/>
        </w:tabs>
        <w:wordWrap/>
        <w:spacing w:beforeLines="0" w:afterLines="0"/>
        <w:outlineLvl w:val="9"/>
        <w:rPr>
          <w:rFonts w:hAnsi="黑体" w:cs="黑体"/>
          <w:szCs w:val="22"/>
        </w:rPr>
      </w:pPr>
      <w:r>
        <w:rPr>
          <w:rFonts w:hAnsi="黑体" w:cs="黑体" w:hint="eastAsia"/>
          <w:szCs w:val="22"/>
        </w:rPr>
        <w:t>4  划分调查单元</w:t>
      </w:r>
    </w:p>
    <w:p w14:paraId="50522D15" w14:textId="753E1D34" w:rsidR="003F137C" w:rsidRPr="003F137C" w:rsidRDefault="003F137C" w:rsidP="003F137C">
      <w:pPr>
        <w:pStyle w:val="af8"/>
        <w:ind w:firstLine="420"/>
      </w:pPr>
      <w:r>
        <w:rPr>
          <w:rFonts w:hint="eastAsia"/>
        </w:rPr>
        <w:t>包括划分调查单元、调查单元内点位布设与采样检测等</w:t>
      </w:r>
    </w:p>
    <w:p w14:paraId="725AF29B" w14:textId="64CA2A30" w:rsidR="00B752A8" w:rsidRDefault="00C46237" w:rsidP="003F137C">
      <w:pPr>
        <w:pStyle w:val="aff4"/>
        <w:tabs>
          <w:tab w:val="left" w:pos="360"/>
        </w:tabs>
        <w:wordWrap/>
        <w:spacing w:beforeLines="0" w:afterLines="0"/>
        <w:outlineLvl w:val="9"/>
        <w:rPr>
          <w:rFonts w:hAnsi="黑体" w:cs="黑体"/>
          <w:szCs w:val="22"/>
        </w:rPr>
      </w:pPr>
      <w:r>
        <w:rPr>
          <w:rFonts w:hAnsi="黑体" w:cs="黑体" w:hint="eastAsia"/>
          <w:szCs w:val="22"/>
        </w:rPr>
        <w:t>5  点位风险</w:t>
      </w:r>
      <w:r w:rsidR="003F137C">
        <w:rPr>
          <w:rFonts w:hAnsi="黑体" w:cs="黑体" w:hint="eastAsia"/>
          <w:szCs w:val="22"/>
        </w:rPr>
        <w:t>评估</w:t>
      </w:r>
    </w:p>
    <w:p w14:paraId="261A28DC" w14:textId="74FC9E0E" w:rsidR="00B752A8" w:rsidRDefault="00C46237" w:rsidP="003F137C">
      <w:pPr>
        <w:tabs>
          <w:tab w:val="center" w:pos="4201"/>
          <w:tab w:val="right" w:leader="dot" w:pos="9298"/>
        </w:tabs>
        <w:adjustRightInd w:val="0"/>
        <w:snapToGrid w:val="0"/>
        <w:jc w:val="left"/>
        <w:rPr>
          <w:rFonts w:cs="宋体"/>
        </w:rPr>
      </w:pPr>
      <w:r>
        <w:rPr>
          <w:rFonts w:ascii="黑体" w:eastAsia="黑体" w:hAnsi="黑体" w:cs="黑体" w:hint="eastAsia"/>
        </w:rPr>
        <w:t>5.1</w:t>
      </w:r>
      <w:r>
        <w:rPr>
          <w:rFonts w:ascii="宋体" w:hAnsi="宋体" w:cs="宋体" w:hint="eastAsia"/>
        </w:rPr>
        <w:t xml:space="preserve">  点位风险</w:t>
      </w:r>
      <w:r w:rsidR="004B176C">
        <w:rPr>
          <w:rFonts w:ascii="宋体" w:hAnsi="宋体" w:cs="宋体" w:hint="eastAsia"/>
        </w:rPr>
        <w:t>评估</w:t>
      </w:r>
      <w:r>
        <w:rPr>
          <w:rFonts w:ascii="宋体" w:hAnsi="宋体" w:cs="宋体" w:hint="eastAsia"/>
        </w:rPr>
        <w:t>指标</w:t>
      </w:r>
    </w:p>
    <w:p w14:paraId="549E3FD6" w14:textId="27E5C7AB" w:rsidR="00B752A8" w:rsidRDefault="00C46237" w:rsidP="003F137C">
      <w:pPr>
        <w:tabs>
          <w:tab w:val="center" w:pos="4201"/>
          <w:tab w:val="right" w:leader="dot" w:pos="9298"/>
        </w:tabs>
        <w:adjustRightInd w:val="0"/>
        <w:snapToGrid w:val="0"/>
        <w:jc w:val="left"/>
        <w:rPr>
          <w:rFonts w:ascii="黑体" w:hAnsi="黑体" w:cs="黑体"/>
        </w:rPr>
      </w:pPr>
      <w:r>
        <w:rPr>
          <w:rFonts w:ascii="黑体" w:eastAsia="黑体" w:hAnsi="黑体" w:cs="黑体" w:hint="eastAsia"/>
        </w:rPr>
        <w:t xml:space="preserve">5.2  </w:t>
      </w:r>
      <w:r>
        <w:rPr>
          <w:rFonts w:ascii="宋体" w:hAnsi="宋体" w:cs="宋体" w:hint="eastAsia"/>
        </w:rPr>
        <w:t>点位风险</w:t>
      </w:r>
      <w:r w:rsidR="004B176C">
        <w:rPr>
          <w:rFonts w:ascii="宋体" w:hAnsi="宋体" w:cs="宋体" w:hint="eastAsia"/>
        </w:rPr>
        <w:t>评估</w:t>
      </w:r>
      <w:r>
        <w:rPr>
          <w:rFonts w:ascii="宋体" w:hAnsi="宋体" w:cs="宋体" w:hint="eastAsia"/>
        </w:rPr>
        <w:t>水平</w:t>
      </w:r>
    </w:p>
    <w:p w14:paraId="5603CC42" w14:textId="3FEE2645" w:rsidR="00B752A8" w:rsidRDefault="00C46237" w:rsidP="003F137C">
      <w:pPr>
        <w:pStyle w:val="aff4"/>
        <w:tabs>
          <w:tab w:val="left" w:pos="360"/>
        </w:tabs>
        <w:wordWrap/>
        <w:spacing w:beforeLines="0" w:afterLines="0"/>
        <w:outlineLvl w:val="9"/>
        <w:rPr>
          <w:rFonts w:hAnsi="黑体" w:cs="黑体"/>
          <w:szCs w:val="22"/>
        </w:rPr>
      </w:pPr>
      <w:r>
        <w:rPr>
          <w:rFonts w:hAnsi="黑体" w:cs="黑体" w:hint="eastAsia"/>
          <w:szCs w:val="22"/>
        </w:rPr>
        <w:t xml:space="preserve">6 </w:t>
      </w:r>
      <w:r w:rsidR="00BD584C">
        <w:rPr>
          <w:rFonts w:hAnsi="黑体" w:cs="黑体"/>
          <w:szCs w:val="22"/>
        </w:rPr>
        <w:t xml:space="preserve"> </w:t>
      </w:r>
      <w:r>
        <w:rPr>
          <w:rFonts w:hAnsi="黑体" w:cs="黑体" w:hint="eastAsia"/>
          <w:szCs w:val="22"/>
        </w:rPr>
        <w:t>划分风险单元</w:t>
      </w:r>
    </w:p>
    <w:p w14:paraId="6ABFDFCF" w14:textId="77777777" w:rsidR="00B752A8" w:rsidRDefault="00C46237" w:rsidP="003F137C">
      <w:pPr>
        <w:adjustRightInd w:val="0"/>
        <w:snapToGrid w:val="0"/>
        <w:jc w:val="left"/>
        <w:rPr>
          <w:rFonts w:cs="宋体"/>
        </w:rPr>
      </w:pPr>
      <w:r>
        <w:rPr>
          <w:rFonts w:ascii="黑体" w:eastAsia="黑体" w:hAnsi="黑体" w:cs="黑体" w:hint="eastAsia"/>
        </w:rPr>
        <w:t xml:space="preserve">6.1  </w:t>
      </w:r>
      <w:r>
        <w:rPr>
          <w:rFonts w:ascii="宋体" w:hAnsi="宋体" w:cs="宋体" w:hint="eastAsia"/>
        </w:rPr>
        <w:t>确定治理单元</w:t>
      </w:r>
    </w:p>
    <w:p w14:paraId="5DF9EE40" w14:textId="77777777" w:rsidR="00B752A8" w:rsidRDefault="00C46237" w:rsidP="003F137C">
      <w:pPr>
        <w:adjustRightInd w:val="0"/>
        <w:snapToGrid w:val="0"/>
        <w:jc w:val="left"/>
        <w:rPr>
          <w:rFonts w:cs="宋体"/>
        </w:rPr>
      </w:pPr>
      <w:r>
        <w:rPr>
          <w:rFonts w:ascii="黑体" w:eastAsia="黑体" w:hAnsi="黑体" w:cs="黑体" w:hint="eastAsia"/>
        </w:rPr>
        <w:t>6.2</w:t>
      </w:r>
      <w:r>
        <w:rPr>
          <w:rFonts w:ascii="宋体" w:hAnsi="宋体" w:cs="宋体" w:hint="eastAsia"/>
        </w:rPr>
        <w:t xml:space="preserve">  评价指标</w:t>
      </w:r>
    </w:p>
    <w:p w14:paraId="5835F639" w14:textId="235CCC68" w:rsidR="00B752A8" w:rsidRDefault="00C46237" w:rsidP="003F137C">
      <w:pPr>
        <w:adjustRightInd w:val="0"/>
        <w:snapToGrid w:val="0"/>
        <w:jc w:val="left"/>
        <w:rPr>
          <w:rFonts w:cs="宋体"/>
        </w:rPr>
      </w:pPr>
      <w:r>
        <w:rPr>
          <w:rFonts w:ascii="黑体" w:eastAsia="黑体" w:hAnsi="黑体" w:cs="黑体" w:hint="eastAsia"/>
        </w:rPr>
        <w:t>6.3</w:t>
      </w:r>
      <w:r>
        <w:rPr>
          <w:rFonts w:ascii="宋体" w:hAnsi="宋体" w:cs="宋体" w:hint="eastAsia"/>
        </w:rPr>
        <w:t xml:space="preserve">  </w:t>
      </w:r>
      <w:r w:rsidR="004B176C">
        <w:rPr>
          <w:rFonts w:ascii="宋体" w:hAnsi="宋体" w:cs="宋体" w:hint="eastAsia"/>
        </w:rPr>
        <w:t>风险单元风险评估水平</w:t>
      </w:r>
    </w:p>
    <w:p w14:paraId="1AD5BFD8" w14:textId="77777777" w:rsidR="00F92F41" w:rsidRDefault="00F92F41" w:rsidP="00F92F41">
      <w:pPr>
        <w:pStyle w:val="aff4"/>
        <w:tabs>
          <w:tab w:val="left" w:pos="360"/>
        </w:tabs>
        <w:wordWrap/>
        <w:spacing w:beforeLines="0" w:afterLines="0"/>
        <w:outlineLvl w:val="9"/>
      </w:pPr>
      <w:r>
        <w:t>7</w:t>
      </w:r>
      <w:r w:rsidR="00BD584C">
        <w:t xml:space="preserve">  </w:t>
      </w:r>
      <w:r w:rsidR="00BD584C">
        <w:rPr>
          <w:rFonts w:hint="eastAsia"/>
        </w:rPr>
        <w:t>评估结论</w:t>
      </w:r>
    </w:p>
    <w:p w14:paraId="321C3E10" w14:textId="2769A46D" w:rsidR="00F92F41" w:rsidRPr="00BD584C" w:rsidRDefault="00F92F41" w:rsidP="00F92F41">
      <w:pPr>
        <w:pStyle w:val="aff4"/>
        <w:tabs>
          <w:tab w:val="left" w:pos="360"/>
        </w:tabs>
        <w:wordWrap/>
        <w:spacing w:beforeLines="0" w:afterLines="0"/>
        <w:outlineLvl w:val="9"/>
        <w:rPr>
          <w:rFonts w:hAnsi="黑体" w:cs="黑体"/>
          <w:szCs w:val="22"/>
        </w:rPr>
      </w:pPr>
      <w:r>
        <w:rPr>
          <w:rFonts w:hAnsi="黑体" w:cs="黑体"/>
          <w:szCs w:val="22"/>
        </w:rPr>
        <w:t>8</w:t>
      </w:r>
      <w:r w:rsidRPr="00BD584C">
        <w:rPr>
          <w:rFonts w:hAnsi="黑体" w:cs="黑体"/>
          <w:szCs w:val="22"/>
        </w:rPr>
        <w:t xml:space="preserve">  </w:t>
      </w:r>
      <w:r w:rsidRPr="00BD584C">
        <w:rPr>
          <w:rFonts w:hAnsi="黑体" w:cs="黑体" w:hint="eastAsia"/>
          <w:szCs w:val="22"/>
        </w:rPr>
        <w:t>不确定性分析</w:t>
      </w:r>
    </w:p>
    <w:p w14:paraId="2933D4E8" w14:textId="29F8D31D" w:rsidR="00B752A8" w:rsidRPr="00BD584C" w:rsidRDefault="00BD584C" w:rsidP="003F137C">
      <w:pPr>
        <w:pStyle w:val="aff4"/>
        <w:tabs>
          <w:tab w:val="left" w:pos="360"/>
        </w:tabs>
        <w:wordWrap/>
        <w:spacing w:beforeLines="0" w:afterLines="0"/>
        <w:outlineLvl w:val="9"/>
        <w:rPr>
          <w:rFonts w:hAnsi="黑体" w:cs="黑体"/>
          <w:szCs w:val="22"/>
        </w:rPr>
      </w:pPr>
      <w:r>
        <w:rPr>
          <w:rFonts w:hAnsi="黑体" w:cs="黑体"/>
          <w:szCs w:val="22"/>
        </w:rPr>
        <w:t>9</w:t>
      </w:r>
      <w:r w:rsidR="00C46237" w:rsidRPr="00BD584C">
        <w:rPr>
          <w:rFonts w:hAnsi="黑体" w:cs="黑体" w:hint="eastAsia"/>
          <w:szCs w:val="22"/>
        </w:rPr>
        <w:t xml:space="preserve">  </w:t>
      </w:r>
      <w:r>
        <w:rPr>
          <w:rFonts w:hAnsi="黑体" w:cs="黑体" w:hint="eastAsia"/>
          <w:szCs w:val="22"/>
        </w:rPr>
        <w:t>风险管控策略建议</w:t>
      </w:r>
    </w:p>
    <w:p w14:paraId="259A2A04" w14:textId="77777777" w:rsidR="00B752A8" w:rsidRDefault="00C46237" w:rsidP="003F137C">
      <w:pPr>
        <w:pStyle w:val="aff4"/>
        <w:tabs>
          <w:tab w:val="left" w:pos="360"/>
        </w:tabs>
        <w:wordWrap/>
        <w:spacing w:beforeLines="0" w:afterLines="0"/>
        <w:outlineLvl w:val="9"/>
        <w:rPr>
          <w:rFonts w:hAnsi="黑体" w:cs="黑体"/>
          <w:szCs w:val="22"/>
        </w:rPr>
      </w:pPr>
      <w:r>
        <w:rPr>
          <w:rFonts w:hAnsi="黑体" w:cs="黑体" w:hint="eastAsia"/>
          <w:szCs w:val="22"/>
        </w:rPr>
        <w:t>附件</w:t>
      </w:r>
    </w:p>
    <w:p w14:paraId="264A9467" w14:textId="77777777" w:rsidR="00B752A8" w:rsidRDefault="00C46237" w:rsidP="003F137C">
      <w:pPr>
        <w:pStyle w:val="af8"/>
        <w:tabs>
          <w:tab w:val="center" w:pos="4201"/>
          <w:tab w:val="right" w:leader="dot" w:pos="9298"/>
        </w:tabs>
        <w:ind w:firstLine="420"/>
        <w:rPr>
          <w:rFonts w:hAnsi="宋体" w:cs="宋体"/>
        </w:rPr>
      </w:pPr>
      <w:r>
        <w:rPr>
          <w:rFonts w:hAnsi="宋体" w:cs="宋体" w:hint="eastAsia"/>
        </w:rPr>
        <w:t>包括支撑食用农产品产地重金属风险评价相关图件及相关表格等</w:t>
      </w:r>
      <w:r>
        <w:rPr>
          <w:rFonts w:hAnsi="宋体" w:cs="宋体"/>
        </w:rPr>
        <w:t xml:space="preserve"> </w:t>
      </w:r>
    </w:p>
    <w:p w14:paraId="162BE8B2" w14:textId="77777777" w:rsidR="00B752A8" w:rsidRDefault="00B752A8">
      <w:pPr>
        <w:pStyle w:val="af8"/>
        <w:ind w:firstLineChars="0" w:firstLine="0"/>
        <w:rPr>
          <w:rFonts w:ascii="Times New Roman"/>
        </w:rPr>
      </w:pPr>
    </w:p>
    <w:sectPr w:rsidR="00B752A8">
      <w:footerReference w:type="default" r:id="rId3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F1550" w14:textId="77777777" w:rsidR="00787C55" w:rsidRDefault="00787C55">
      <w:pPr>
        <w:spacing w:line="240" w:lineRule="auto"/>
      </w:pPr>
      <w:r>
        <w:separator/>
      </w:r>
    </w:p>
  </w:endnote>
  <w:endnote w:type="continuationSeparator" w:id="0">
    <w:p w14:paraId="2851BB25" w14:textId="77777777" w:rsidR="00787C55" w:rsidRDefault="00787C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Unicode MS">
    <w:panose1 w:val="020B0604020202020204"/>
    <w:charset w:val="86"/>
    <w:family w:val="swiss"/>
    <w:pitch w:val="default"/>
    <w:sig w:usb0="00000000" w:usb1="00000000" w:usb2="0000003F" w:usb3="00000000" w:csb0="003F01F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64EDC" w14:textId="77777777" w:rsidR="00B752A8" w:rsidRDefault="00C46237">
    <w:pPr>
      <w:pStyle w:val="a9"/>
      <w:framePr w:wrap="around" w:vAnchor="text" w:hAnchor="margin" w:xAlign="center" w:y="1"/>
      <w:rPr>
        <w:rStyle w:val="af2"/>
      </w:rPr>
    </w:pPr>
    <w:r>
      <w:fldChar w:fldCharType="begin"/>
    </w:r>
    <w:r>
      <w:rPr>
        <w:rStyle w:val="af2"/>
      </w:rPr>
      <w:instrText xml:space="preserve">PAGE  </w:instrText>
    </w:r>
    <w:r>
      <w:fldChar w:fldCharType="separate"/>
    </w:r>
    <w:r>
      <w:rPr>
        <w:rStyle w:val="af2"/>
      </w:rPr>
      <w:t>I</w:t>
    </w:r>
    <w:r>
      <w:fldChar w:fldCharType="end"/>
    </w:r>
  </w:p>
  <w:p w14:paraId="78BC39D1" w14:textId="77777777" w:rsidR="00B752A8" w:rsidRDefault="00B752A8">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16BB4" w14:textId="77777777" w:rsidR="00B752A8" w:rsidRDefault="00C46237">
    <w:pPr>
      <w:pStyle w:val="afff9"/>
      <w:rPr>
        <w:rStyle w:val="af2"/>
      </w:rPr>
    </w:pPr>
    <w:r>
      <w:fldChar w:fldCharType="begin"/>
    </w:r>
    <w:r>
      <w:rPr>
        <w:rStyle w:val="af2"/>
      </w:rPr>
      <w:instrText xml:space="preserve">PAGE  </w:instrText>
    </w:r>
    <w:r>
      <w:fldChar w:fldCharType="separate"/>
    </w:r>
    <w:r>
      <w:rPr>
        <w:rStyle w:val="af2"/>
      </w:rPr>
      <w:t>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A16E2" w14:textId="77777777" w:rsidR="00B752A8" w:rsidRDefault="00B752A8">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0637D" w14:textId="77777777" w:rsidR="00B752A8" w:rsidRDefault="00C46237">
    <w:pPr>
      <w:pStyle w:val="a9"/>
      <w:jc w:val="center"/>
    </w:pPr>
    <w:r>
      <w:fldChar w:fldCharType="begin"/>
    </w:r>
    <w:r>
      <w:instrText>PAGE   \* MERGEFORMAT</w:instrText>
    </w:r>
    <w:r>
      <w:fldChar w:fldCharType="separate"/>
    </w:r>
    <w:r>
      <w:rPr>
        <w:lang w:val="zh-CN"/>
      </w:rPr>
      <w:t>1</w:t>
    </w:r>
    <w:r>
      <w:rPr>
        <w:lang w:val="zh-CN"/>
      </w:rPr>
      <w:fldChar w:fldCharType="end"/>
    </w:r>
  </w:p>
  <w:p w14:paraId="5935B263" w14:textId="77777777" w:rsidR="00B752A8" w:rsidRDefault="00B752A8">
    <w:pPr>
      <w:pStyle w:val="a9"/>
      <w:jc w:val="both"/>
      <w:rPr>
        <w:rStyle w:val="af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B757A" w14:textId="77777777" w:rsidR="00B752A8" w:rsidRDefault="00C46237">
    <w:pPr>
      <w:pStyle w:val="a9"/>
      <w:framePr w:wrap="around" w:vAnchor="text" w:hAnchor="margin" w:xAlign="center" w:y="1"/>
      <w:rPr>
        <w:rStyle w:val="af2"/>
      </w:rPr>
    </w:pPr>
    <w:r>
      <w:fldChar w:fldCharType="begin"/>
    </w:r>
    <w:r>
      <w:rPr>
        <w:rStyle w:val="af2"/>
      </w:rPr>
      <w:instrText xml:space="preserve">PAGE  </w:instrText>
    </w:r>
    <w:r>
      <w:fldChar w:fldCharType="separate"/>
    </w:r>
    <w:r>
      <w:rPr>
        <w:rStyle w:val="af2"/>
      </w:rP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8F98" w14:textId="77777777" w:rsidR="00787C55" w:rsidRDefault="00787C55">
      <w:pPr>
        <w:spacing w:line="240" w:lineRule="auto"/>
      </w:pPr>
      <w:r>
        <w:separator/>
      </w:r>
    </w:p>
  </w:footnote>
  <w:footnote w:type="continuationSeparator" w:id="0">
    <w:p w14:paraId="0BC1A869" w14:textId="77777777" w:rsidR="00787C55" w:rsidRDefault="00787C5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1C367" w14:textId="77777777" w:rsidR="00B752A8" w:rsidRDefault="00B752A8">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FD302" w14:textId="77777777" w:rsidR="00B752A8" w:rsidRDefault="00C46237">
    <w:pPr>
      <w:pStyle w:val="afffb"/>
    </w:pPr>
    <w:r>
      <w:t xml:space="preserve">NY/T </w:t>
    </w:r>
    <w:proofErr w:type="spellStart"/>
    <w:r>
      <w:rPr>
        <w:rFonts w:eastAsia="黑体"/>
      </w:rPr>
      <w:t>xxxx</w:t>
    </w:r>
    <w:proofErr w:type="spellEnd"/>
    <w:r>
      <w:rPr>
        <w:rFonts w:eastAsia="黑体"/>
      </w:rPr>
      <w:t>—2021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163B7" w14:textId="77777777" w:rsidR="00B752A8" w:rsidRDefault="00C46237">
    <w:pPr>
      <w:pStyle w:val="affff7"/>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0145C"/>
    <w:rsid w:val="00001E2A"/>
    <w:rsid w:val="00002E0F"/>
    <w:rsid w:val="00004222"/>
    <w:rsid w:val="000056A4"/>
    <w:rsid w:val="00012F2D"/>
    <w:rsid w:val="00013587"/>
    <w:rsid w:val="0001358C"/>
    <w:rsid w:val="00013DD3"/>
    <w:rsid w:val="0001561C"/>
    <w:rsid w:val="00016652"/>
    <w:rsid w:val="00022B7C"/>
    <w:rsid w:val="00024B6F"/>
    <w:rsid w:val="0002532B"/>
    <w:rsid w:val="000253D1"/>
    <w:rsid w:val="00026278"/>
    <w:rsid w:val="0003016F"/>
    <w:rsid w:val="00031FC0"/>
    <w:rsid w:val="00035E8F"/>
    <w:rsid w:val="0003618F"/>
    <w:rsid w:val="000361B9"/>
    <w:rsid w:val="00036AD8"/>
    <w:rsid w:val="0003772E"/>
    <w:rsid w:val="00037857"/>
    <w:rsid w:val="000420D8"/>
    <w:rsid w:val="00042B84"/>
    <w:rsid w:val="00043B44"/>
    <w:rsid w:val="00043C34"/>
    <w:rsid w:val="0004402D"/>
    <w:rsid w:val="00044EC8"/>
    <w:rsid w:val="00052C68"/>
    <w:rsid w:val="00053193"/>
    <w:rsid w:val="00053194"/>
    <w:rsid w:val="00053CDE"/>
    <w:rsid w:val="00054FB3"/>
    <w:rsid w:val="0005740D"/>
    <w:rsid w:val="00057C9B"/>
    <w:rsid w:val="000641DB"/>
    <w:rsid w:val="0006500A"/>
    <w:rsid w:val="00065ED9"/>
    <w:rsid w:val="00067ED2"/>
    <w:rsid w:val="00070305"/>
    <w:rsid w:val="00074901"/>
    <w:rsid w:val="00075F25"/>
    <w:rsid w:val="00076041"/>
    <w:rsid w:val="000764AF"/>
    <w:rsid w:val="00076AF4"/>
    <w:rsid w:val="00077899"/>
    <w:rsid w:val="0008323E"/>
    <w:rsid w:val="000838E0"/>
    <w:rsid w:val="00083D22"/>
    <w:rsid w:val="00085854"/>
    <w:rsid w:val="00086C5E"/>
    <w:rsid w:val="00092684"/>
    <w:rsid w:val="00093FD7"/>
    <w:rsid w:val="00094157"/>
    <w:rsid w:val="000A0BDC"/>
    <w:rsid w:val="000A263A"/>
    <w:rsid w:val="000A315C"/>
    <w:rsid w:val="000A3917"/>
    <w:rsid w:val="000A418E"/>
    <w:rsid w:val="000A4410"/>
    <w:rsid w:val="000A4806"/>
    <w:rsid w:val="000A5159"/>
    <w:rsid w:val="000A75F7"/>
    <w:rsid w:val="000A7649"/>
    <w:rsid w:val="000A7782"/>
    <w:rsid w:val="000B0211"/>
    <w:rsid w:val="000B2FCD"/>
    <w:rsid w:val="000B4000"/>
    <w:rsid w:val="000B4CBC"/>
    <w:rsid w:val="000B6413"/>
    <w:rsid w:val="000C03C3"/>
    <w:rsid w:val="000C6A0A"/>
    <w:rsid w:val="000C74DF"/>
    <w:rsid w:val="000D0D33"/>
    <w:rsid w:val="000D330C"/>
    <w:rsid w:val="000D5E40"/>
    <w:rsid w:val="000E0C3A"/>
    <w:rsid w:val="000E115B"/>
    <w:rsid w:val="000E5075"/>
    <w:rsid w:val="000E6F36"/>
    <w:rsid w:val="000E72DC"/>
    <w:rsid w:val="000E7AB4"/>
    <w:rsid w:val="000F014D"/>
    <w:rsid w:val="000F0BE1"/>
    <w:rsid w:val="000F1541"/>
    <w:rsid w:val="000F67DF"/>
    <w:rsid w:val="00101C10"/>
    <w:rsid w:val="0010499A"/>
    <w:rsid w:val="0010557F"/>
    <w:rsid w:val="00105AA9"/>
    <w:rsid w:val="00110E8C"/>
    <w:rsid w:val="00111252"/>
    <w:rsid w:val="00112A19"/>
    <w:rsid w:val="00113097"/>
    <w:rsid w:val="0011309E"/>
    <w:rsid w:val="00113296"/>
    <w:rsid w:val="00113FA4"/>
    <w:rsid w:val="001146F8"/>
    <w:rsid w:val="00114C77"/>
    <w:rsid w:val="001163DA"/>
    <w:rsid w:val="00116A1C"/>
    <w:rsid w:val="00116C9A"/>
    <w:rsid w:val="00120B19"/>
    <w:rsid w:val="00121C2C"/>
    <w:rsid w:val="001235A0"/>
    <w:rsid w:val="001235DD"/>
    <w:rsid w:val="00126F8F"/>
    <w:rsid w:val="001275BC"/>
    <w:rsid w:val="00133FAA"/>
    <w:rsid w:val="0013422A"/>
    <w:rsid w:val="00141512"/>
    <w:rsid w:val="00142B2A"/>
    <w:rsid w:val="00143209"/>
    <w:rsid w:val="00143337"/>
    <w:rsid w:val="00143B9A"/>
    <w:rsid w:val="00145DD2"/>
    <w:rsid w:val="00150D8B"/>
    <w:rsid w:val="001511FB"/>
    <w:rsid w:val="00157390"/>
    <w:rsid w:val="00157904"/>
    <w:rsid w:val="00160203"/>
    <w:rsid w:val="001602C1"/>
    <w:rsid w:val="001604BD"/>
    <w:rsid w:val="00161003"/>
    <w:rsid w:val="00162838"/>
    <w:rsid w:val="00164CD9"/>
    <w:rsid w:val="001662E8"/>
    <w:rsid w:val="001702CF"/>
    <w:rsid w:val="001714DF"/>
    <w:rsid w:val="00172A27"/>
    <w:rsid w:val="00173BDD"/>
    <w:rsid w:val="00174A25"/>
    <w:rsid w:val="001754AA"/>
    <w:rsid w:val="001759F1"/>
    <w:rsid w:val="001807CF"/>
    <w:rsid w:val="001814F6"/>
    <w:rsid w:val="001818B9"/>
    <w:rsid w:val="00182255"/>
    <w:rsid w:val="001849FB"/>
    <w:rsid w:val="00190108"/>
    <w:rsid w:val="00190797"/>
    <w:rsid w:val="00190EC8"/>
    <w:rsid w:val="00191BF4"/>
    <w:rsid w:val="00194DF7"/>
    <w:rsid w:val="001952C5"/>
    <w:rsid w:val="00195DF6"/>
    <w:rsid w:val="00195F88"/>
    <w:rsid w:val="00196ADE"/>
    <w:rsid w:val="00196DF8"/>
    <w:rsid w:val="00197295"/>
    <w:rsid w:val="001976EA"/>
    <w:rsid w:val="0019785E"/>
    <w:rsid w:val="001A17FA"/>
    <w:rsid w:val="001A295F"/>
    <w:rsid w:val="001A2990"/>
    <w:rsid w:val="001A2A8F"/>
    <w:rsid w:val="001A3F93"/>
    <w:rsid w:val="001A7752"/>
    <w:rsid w:val="001A78CA"/>
    <w:rsid w:val="001B1970"/>
    <w:rsid w:val="001B301F"/>
    <w:rsid w:val="001B5470"/>
    <w:rsid w:val="001B654F"/>
    <w:rsid w:val="001B6F07"/>
    <w:rsid w:val="001C0DA2"/>
    <w:rsid w:val="001C73EE"/>
    <w:rsid w:val="001C7824"/>
    <w:rsid w:val="001D10B5"/>
    <w:rsid w:val="001D33F7"/>
    <w:rsid w:val="001D3C19"/>
    <w:rsid w:val="001D4A6B"/>
    <w:rsid w:val="001D598A"/>
    <w:rsid w:val="001D5F70"/>
    <w:rsid w:val="001D6145"/>
    <w:rsid w:val="001E081D"/>
    <w:rsid w:val="001E2DBA"/>
    <w:rsid w:val="001E42FB"/>
    <w:rsid w:val="001E4377"/>
    <w:rsid w:val="001E4F8F"/>
    <w:rsid w:val="001E7E04"/>
    <w:rsid w:val="001F123E"/>
    <w:rsid w:val="001F4435"/>
    <w:rsid w:val="001F4E87"/>
    <w:rsid w:val="001F4FA9"/>
    <w:rsid w:val="001F6344"/>
    <w:rsid w:val="001F7607"/>
    <w:rsid w:val="00202FDD"/>
    <w:rsid w:val="00204047"/>
    <w:rsid w:val="0020416E"/>
    <w:rsid w:val="00206732"/>
    <w:rsid w:val="00206A7F"/>
    <w:rsid w:val="00210843"/>
    <w:rsid w:val="00211FFC"/>
    <w:rsid w:val="002129CF"/>
    <w:rsid w:val="00215DC6"/>
    <w:rsid w:val="00216380"/>
    <w:rsid w:val="00216E06"/>
    <w:rsid w:val="00217556"/>
    <w:rsid w:val="0022246A"/>
    <w:rsid w:val="00223CDF"/>
    <w:rsid w:val="002274B9"/>
    <w:rsid w:val="0023028D"/>
    <w:rsid w:val="0023245A"/>
    <w:rsid w:val="002347C3"/>
    <w:rsid w:val="00236291"/>
    <w:rsid w:val="00236E22"/>
    <w:rsid w:val="002416E6"/>
    <w:rsid w:val="0024275C"/>
    <w:rsid w:val="00243778"/>
    <w:rsid w:val="00245BC0"/>
    <w:rsid w:val="002542EB"/>
    <w:rsid w:val="00257216"/>
    <w:rsid w:val="00260732"/>
    <w:rsid w:val="00261229"/>
    <w:rsid w:val="00262A92"/>
    <w:rsid w:val="0026306C"/>
    <w:rsid w:val="002641BD"/>
    <w:rsid w:val="00264367"/>
    <w:rsid w:val="00264467"/>
    <w:rsid w:val="00265F13"/>
    <w:rsid w:val="00267104"/>
    <w:rsid w:val="00271824"/>
    <w:rsid w:val="002723C1"/>
    <w:rsid w:val="002803BB"/>
    <w:rsid w:val="00280B19"/>
    <w:rsid w:val="00280BCA"/>
    <w:rsid w:val="00281AE8"/>
    <w:rsid w:val="00284079"/>
    <w:rsid w:val="002841E2"/>
    <w:rsid w:val="00284757"/>
    <w:rsid w:val="00285833"/>
    <w:rsid w:val="00294534"/>
    <w:rsid w:val="00294A17"/>
    <w:rsid w:val="00295065"/>
    <w:rsid w:val="0029671B"/>
    <w:rsid w:val="002A08AB"/>
    <w:rsid w:val="002A1830"/>
    <w:rsid w:val="002A7F83"/>
    <w:rsid w:val="002B04F0"/>
    <w:rsid w:val="002B19E0"/>
    <w:rsid w:val="002B694E"/>
    <w:rsid w:val="002B77BE"/>
    <w:rsid w:val="002C0463"/>
    <w:rsid w:val="002C0EBE"/>
    <w:rsid w:val="002C0FA7"/>
    <w:rsid w:val="002C1E6C"/>
    <w:rsid w:val="002C60F4"/>
    <w:rsid w:val="002D023D"/>
    <w:rsid w:val="002D0E75"/>
    <w:rsid w:val="002D1EB6"/>
    <w:rsid w:val="002D2E78"/>
    <w:rsid w:val="002D53D4"/>
    <w:rsid w:val="002D6874"/>
    <w:rsid w:val="002D7E85"/>
    <w:rsid w:val="002E03FE"/>
    <w:rsid w:val="002E1BE0"/>
    <w:rsid w:val="002E2536"/>
    <w:rsid w:val="002E44A4"/>
    <w:rsid w:val="002E5888"/>
    <w:rsid w:val="002E5A7F"/>
    <w:rsid w:val="002F19BC"/>
    <w:rsid w:val="002F5F5F"/>
    <w:rsid w:val="002F6C4F"/>
    <w:rsid w:val="002F6E70"/>
    <w:rsid w:val="002F7891"/>
    <w:rsid w:val="00302397"/>
    <w:rsid w:val="00303D87"/>
    <w:rsid w:val="00307E52"/>
    <w:rsid w:val="00310538"/>
    <w:rsid w:val="003120C3"/>
    <w:rsid w:val="00313060"/>
    <w:rsid w:val="00313C77"/>
    <w:rsid w:val="0031641E"/>
    <w:rsid w:val="00323FFD"/>
    <w:rsid w:val="00331B7F"/>
    <w:rsid w:val="00332D8C"/>
    <w:rsid w:val="003331A0"/>
    <w:rsid w:val="00335235"/>
    <w:rsid w:val="003375FF"/>
    <w:rsid w:val="00340D86"/>
    <w:rsid w:val="003422B0"/>
    <w:rsid w:val="00347DA2"/>
    <w:rsid w:val="00350765"/>
    <w:rsid w:val="00351E04"/>
    <w:rsid w:val="00351EC5"/>
    <w:rsid w:val="00353343"/>
    <w:rsid w:val="003540B4"/>
    <w:rsid w:val="0036051D"/>
    <w:rsid w:val="003611DB"/>
    <w:rsid w:val="00363AEC"/>
    <w:rsid w:val="00365AED"/>
    <w:rsid w:val="00365CFB"/>
    <w:rsid w:val="00373483"/>
    <w:rsid w:val="0037647F"/>
    <w:rsid w:val="003767D5"/>
    <w:rsid w:val="00376AE9"/>
    <w:rsid w:val="00384584"/>
    <w:rsid w:val="003860A9"/>
    <w:rsid w:val="00390D58"/>
    <w:rsid w:val="0039224F"/>
    <w:rsid w:val="00396D66"/>
    <w:rsid w:val="00397BED"/>
    <w:rsid w:val="00397DAD"/>
    <w:rsid w:val="003A024D"/>
    <w:rsid w:val="003A15BA"/>
    <w:rsid w:val="003A262B"/>
    <w:rsid w:val="003A2E50"/>
    <w:rsid w:val="003A7D4A"/>
    <w:rsid w:val="003C15C7"/>
    <w:rsid w:val="003C3F2D"/>
    <w:rsid w:val="003C7AD6"/>
    <w:rsid w:val="003D1EC5"/>
    <w:rsid w:val="003D2FC6"/>
    <w:rsid w:val="003D46B4"/>
    <w:rsid w:val="003D752D"/>
    <w:rsid w:val="003E2580"/>
    <w:rsid w:val="003E369F"/>
    <w:rsid w:val="003E422B"/>
    <w:rsid w:val="003E6093"/>
    <w:rsid w:val="003F137C"/>
    <w:rsid w:val="003F3D9D"/>
    <w:rsid w:val="003F5021"/>
    <w:rsid w:val="003F61B3"/>
    <w:rsid w:val="003F662D"/>
    <w:rsid w:val="00401844"/>
    <w:rsid w:val="00402439"/>
    <w:rsid w:val="00402C68"/>
    <w:rsid w:val="00404203"/>
    <w:rsid w:val="004044F5"/>
    <w:rsid w:val="00407AF4"/>
    <w:rsid w:val="00407C98"/>
    <w:rsid w:val="00410A38"/>
    <w:rsid w:val="004130B3"/>
    <w:rsid w:val="0041455E"/>
    <w:rsid w:val="004148BE"/>
    <w:rsid w:val="00414EA0"/>
    <w:rsid w:val="0041509F"/>
    <w:rsid w:val="00415CC4"/>
    <w:rsid w:val="0041710D"/>
    <w:rsid w:val="004208C2"/>
    <w:rsid w:val="004215F2"/>
    <w:rsid w:val="00423254"/>
    <w:rsid w:val="00424B12"/>
    <w:rsid w:val="00425797"/>
    <w:rsid w:val="00425DE5"/>
    <w:rsid w:val="00426D26"/>
    <w:rsid w:val="00430395"/>
    <w:rsid w:val="004303A2"/>
    <w:rsid w:val="00430A76"/>
    <w:rsid w:val="00433EFC"/>
    <w:rsid w:val="00434389"/>
    <w:rsid w:val="004351CD"/>
    <w:rsid w:val="00436C21"/>
    <w:rsid w:val="00441306"/>
    <w:rsid w:val="00445A9C"/>
    <w:rsid w:val="00446DD9"/>
    <w:rsid w:val="00446E78"/>
    <w:rsid w:val="0045231C"/>
    <w:rsid w:val="00453E15"/>
    <w:rsid w:val="00456D27"/>
    <w:rsid w:val="004601A3"/>
    <w:rsid w:val="00461448"/>
    <w:rsid w:val="0046598A"/>
    <w:rsid w:val="0046770C"/>
    <w:rsid w:val="004700E7"/>
    <w:rsid w:val="00472130"/>
    <w:rsid w:val="00472AEE"/>
    <w:rsid w:val="00472E54"/>
    <w:rsid w:val="0047364A"/>
    <w:rsid w:val="00474A29"/>
    <w:rsid w:val="00476422"/>
    <w:rsid w:val="00476B7A"/>
    <w:rsid w:val="00482769"/>
    <w:rsid w:val="004864A8"/>
    <w:rsid w:val="004908F0"/>
    <w:rsid w:val="004952B8"/>
    <w:rsid w:val="004A122D"/>
    <w:rsid w:val="004A329A"/>
    <w:rsid w:val="004A42BC"/>
    <w:rsid w:val="004A4E85"/>
    <w:rsid w:val="004A7F6F"/>
    <w:rsid w:val="004B176C"/>
    <w:rsid w:val="004B19CE"/>
    <w:rsid w:val="004B466F"/>
    <w:rsid w:val="004B6600"/>
    <w:rsid w:val="004B7FFA"/>
    <w:rsid w:val="004C4F23"/>
    <w:rsid w:val="004C7BC5"/>
    <w:rsid w:val="004D11C6"/>
    <w:rsid w:val="004D1E45"/>
    <w:rsid w:val="004D7E14"/>
    <w:rsid w:val="004E150A"/>
    <w:rsid w:val="004E1E67"/>
    <w:rsid w:val="004E2659"/>
    <w:rsid w:val="004F06A7"/>
    <w:rsid w:val="004F1071"/>
    <w:rsid w:val="004F1930"/>
    <w:rsid w:val="004F2523"/>
    <w:rsid w:val="004F36B2"/>
    <w:rsid w:val="004F3A1B"/>
    <w:rsid w:val="004F3BF3"/>
    <w:rsid w:val="004F3F93"/>
    <w:rsid w:val="004F5293"/>
    <w:rsid w:val="004F537D"/>
    <w:rsid w:val="004F6BD8"/>
    <w:rsid w:val="00503A71"/>
    <w:rsid w:val="00505AE4"/>
    <w:rsid w:val="005070E7"/>
    <w:rsid w:val="0051362F"/>
    <w:rsid w:val="00515A5D"/>
    <w:rsid w:val="00517A89"/>
    <w:rsid w:val="00523AFE"/>
    <w:rsid w:val="005252B3"/>
    <w:rsid w:val="00526832"/>
    <w:rsid w:val="0053181C"/>
    <w:rsid w:val="00535BEB"/>
    <w:rsid w:val="00536489"/>
    <w:rsid w:val="00542B1A"/>
    <w:rsid w:val="005431CD"/>
    <w:rsid w:val="00543E76"/>
    <w:rsid w:val="005457F6"/>
    <w:rsid w:val="00546F1C"/>
    <w:rsid w:val="00546F28"/>
    <w:rsid w:val="0055131E"/>
    <w:rsid w:val="00552162"/>
    <w:rsid w:val="0055350E"/>
    <w:rsid w:val="00553808"/>
    <w:rsid w:val="00553E3E"/>
    <w:rsid w:val="00555137"/>
    <w:rsid w:val="00565A15"/>
    <w:rsid w:val="00566C08"/>
    <w:rsid w:val="00571DA7"/>
    <w:rsid w:val="00573E5C"/>
    <w:rsid w:val="00575EE7"/>
    <w:rsid w:val="005765D3"/>
    <w:rsid w:val="00576D1F"/>
    <w:rsid w:val="00576FF4"/>
    <w:rsid w:val="0058023C"/>
    <w:rsid w:val="00580B8F"/>
    <w:rsid w:val="005824E3"/>
    <w:rsid w:val="00583D69"/>
    <w:rsid w:val="00584415"/>
    <w:rsid w:val="00584E82"/>
    <w:rsid w:val="005917DE"/>
    <w:rsid w:val="0059411B"/>
    <w:rsid w:val="005958C1"/>
    <w:rsid w:val="005967AD"/>
    <w:rsid w:val="00596FA4"/>
    <w:rsid w:val="005A0312"/>
    <w:rsid w:val="005A5315"/>
    <w:rsid w:val="005A55D1"/>
    <w:rsid w:val="005A5966"/>
    <w:rsid w:val="005A70A2"/>
    <w:rsid w:val="005A756B"/>
    <w:rsid w:val="005B16B7"/>
    <w:rsid w:val="005B2FC6"/>
    <w:rsid w:val="005B6FB3"/>
    <w:rsid w:val="005C03F6"/>
    <w:rsid w:val="005C2C9C"/>
    <w:rsid w:val="005C3EA6"/>
    <w:rsid w:val="005C3F16"/>
    <w:rsid w:val="005C5C94"/>
    <w:rsid w:val="005D12A4"/>
    <w:rsid w:val="005E1D57"/>
    <w:rsid w:val="005E3856"/>
    <w:rsid w:val="005E46F5"/>
    <w:rsid w:val="005F1EDF"/>
    <w:rsid w:val="005F1F9D"/>
    <w:rsid w:val="005F269B"/>
    <w:rsid w:val="005F3D60"/>
    <w:rsid w:val="005F56CA"/>
    <w:rsid w:val="005F634B"/>
    <w:rsid w:val="006006F5"/>
    <w:rsid w:val="00602211"/>
    <w:rsid w:val="00603057"/>
    <w:rsid w:val="00604261"/>
    <w:rsid w:val="00604FB2"/>
    <w:rsid w:val="00605ED3"/>
    <w:rsid w:val="00610803"/>
    <w:rsid w:val="006129D3"/>
    <w:rsid w:val="0061431D"/>
    <w:rsid w:val="00614820"/>
    <w:rsid w:val="0061615D"/>
    <w:rsid w:val="00620F0F"/>
    <w:rsid w:val="00622D71"/>
    <w:rsid w:val="00624645"/>
    <w:rsid w:val="00625819"/>
    <w:rsid w:val="00626688"/>
    <w:rsid w:val="00627562"/>
    <w:rsid w:val="006309F1"/>
    <w:rsid w:val="00633793"/>
    <w:rsid w:val="00634EB3"/>
    <w:rsid w:val="00637A14"/>
    <w:rsid w:val="00642ECE"/>
    <w:rsid w:val="00643972"/>
    <w:rsid w:val="00645BFE"/>
    <w:rsid w:val="006463C5"/>
    <w:rsid w:val="00646644"/>
    <w:rsid w:val="00647516"/>
    <w:rsid w:val="0065125F"/>
    <w:rsid w:val="00651587"/>
    <w:rsid w:val="00652F58"/>
    <w:rsid w:val="00653AC2"/>
    <w:rsid w:val="0065523A"/>
    <w:rsid w:val="00656D5C"/>
    <w:rsid w:val="006570E5"/>
    <w:rsid w:val="0066034B"/>
    <w:rsid w:val="00661DA8"/>
    <w:rsid w:val="00663C95"/>
    <w:rsid w:val="0066518D"/>
    <w:rsid w:val="00665F60"/>
    <w:rsid w:val="006755D7"/>
    <w:rsid w:val="00675933"/>
    <w:rsid w:val="00680266"/>
    <w:rsid w:val="00680D13"/>
    <w:rsid w:val="006819F9"/>
    <w:rsid w:val="00683090"/>
    <w:rsid w:val="006849E3"/>
    <w:rsid w:val="0069027B"/>
    <w:rsid w:val="00690865"/>
    <w:rsid w:val="00690EB6"/>
    <w:rsid w:val="00692B96"/>
    <w:rsid w:val="00693074"/>
    <w:rsid w:val="00693CDC"/>
    <w:rsid w:val="0069409E"/>
    <w:rsid w:val="00694BE8"/>
    <w:rsid w:val="00697DF8"/>
    <w:rsid w:val="006A2387"/>
    <w:rsid w:val="006A67EB"/>
    <w:rsid w:val="006B128E"/>
    <w:rsid w:val="006B3FFC"/>
    <w:rsid w:val="006B4C0E"/>
    <w:rsid w:val="006C5D15"/>
    <w:rsid w:val="006C5D6D"/>
    <w:rsid w:val="006D11F4"/>
    <w:rsid w:val="006D1D1A"/>
    <w:rsid w:val="006D4247"/>
    <w:rsid w:val="006D5705"/>
    <w:rsid w:val="006D676D"/>
    <w:rsid w:val="006E1F2C"/>
    <w:rsid w:val="006E3E70"/>
    <w:rsid w:val="006E7590"/>
    <w:rsid w:val="006E7788"/>
    <w:rsid w:val="006E7F2A"/>
    <w:rsid w:val="006F0216"/>
    <w:rsid w:val="006F095C"/>
    <w:rsid w:val="006F2FD6"/>
    <w:rsid w:val="006F63B3"/>
    <w:rsid w:val="006F7CE1"/>
    <w:rsid w:val="00701480"/>
    <w:rsid w:val="00703E46"/>
    <w:rsid w:val="007047D8"/>
    <w:rsid w:val="00712910"/>
    <w:rsid w:val="00712D36"/>
    <w:rsid w:val="007146FF"/>
    <w:rsid w:val="00714D7F"/>
    <w:rsid w:val="00715358"/>
    <w:rsid w:val="00717C44"/>
    <w:rsid w:val="0072167C"/>
    <w:rsid w:val="00721FEC"/>
    <w:rsid w:val="00725671"/>
    <w:rsid w:val="007263BE"/>
    <w:rsid w:val="00734213"/>
    <w:rsid w:val="00744F95"/>
    <w:rsid w:val="00745839"/>
    <w:rsid w:val="007536ED"/>
    <w:rsid w:val="0075407C"/>
    <w:rsid w:val="0075472E"/>
    <w:rsid w:val="00756A54"/>
    <w:rsid w:val="00761E75"/>
    <w:rsid w:val="00770DDE"/>
    <w:rsid w:val="007710A0"/>
    <w:rsid w:val="00771A75"/>
    <w:rsid w:val="00773473"/>
    <w:rsid w:val="00774688"/>
    <w:rsid w:val="0077634B"/>
    <w:rsid w:val="0077681A"/>
    <w:rsid w:val="00776A2E"/>
    <w:rsid w:val="00777AC9"/>
    <w:rsid w:val="0078026A"/>
    <w:rsid w:val="0078090E"/>
    <w:rsid w:val="00780F2E"/>
    <w:rsid w:val="00782ABA"/>
    <w:rsid w:val="00783C7C"/>
    <w:rsid w:val="007846F8"/>
    <w:rsid w:val="00784C26"/>
    <w:rsid w:val="0078753E"/>
    <w:rsid w:val="007879C5"/>
    <w:rsid w:val="00787C55"/>
    <w:rsid w:val="00787E6A"/>
    <w:rsid w:val="00790888"/>
    <w:rsid w:val="007947EC"/>
    <w:rsid w:val="00794C72"/>
    <w:rsid w:val="00795FA0"/>
    <w:rsid w:val="007A11DA"/>
    <w:rsid w:val="007A45E7"/>
    <w:rsid w:val="007A52A0"/>
    <w:rsid w:val="007A5D93"/>
    <w:rsid w:val="007A5EA7"/>
    <w:rsid w:val="007A7B52"/>
    <w:rsid w:val="007B1ECE"/>
    <w:rsid w:val="007B2E8F"/>
    <w:rsid w:val="007B37A1"/>
    <w:rsid w:val="007B53AD"/>
    <w:rsid w:val="007B55EB"/>
    <w:rsid w:val="007B6147"/>
    <w:rsid w:val="007B7CA8"/>
    <w:rsid w:val="007C0002"/>
    <w:rsid w:val="007C02EE"/>
    <w:rsid w:val="007C36DD"/>
    <w:rsid w:val="007C3E66"/>
    <w:rsid w:val="007C4CE5"/>
    <w:rsid w:val="007D09E2"/>
    <w:rsid w:val="007D29C3"/>
    <w:rsid w:val="007D36D6"/>
    <w:rsid w:val="007D45C0"/>
    <w:rsid w:val="007D5683"/>
    <w:rsid w:val="007D6AC0"/>
    <w:rsid w:val="007E111B"/>
    <w:rsid w:val="007E38D9"/>
    <w:rsid w:val="007E424A"/>
    <w:rsid w:val="007E45FA"/>
    <w:rsid w:val="007E46B7"/>
    <w:rsid w:val="007E50F2"/>
    <w:rsid w:val="007E792B"/>
    <w:rsid w:val="007F027A"/>
    <w:rsid w:val="007F2FE4"/>
    <w:rsid w:val="007F48D0"/>
    <w:rsid w:val="007F5DDA"/>
    <w:rsid w:val="00801A64"/>
    <w:rsid w:val="00801C06"/>
    <w:rsid w:val="00803828"/>
    <w:rsid w:val="00804D4B"/>
    <w:rsid w:val="00805587"/>
    <w:rsid w:val="00807368"/>
    <w:rsid w:val="00811776"/>
    <w:rsid w:val="00813BA6"/>
    <w:rsid w:val="0081408A"/>
    <w:rsid w:val="00815423"/>
    <w:rsid w:val="00816DDC"/>
    <w:rsid w:val="0082079C"/>
    <w:rsid w:val="0082100B"/>
    <w:rsid w:val="008267B6"/>
    <w:rsid w:val="00826B08"/>
    <w:rsid w:val="008302AD"/>
    <w:rsid w:val="00831F04"/>
    <w:rsid w:val="00832B26"/>
    <w:rsid w:val="00834401"/>
    <w:rsid w:val="00836A40"/>
    <w:rsid w:val="00844AE0"/>
    <w:rsid w:val="0084573A"/>
    <w:rsid w:val="00847601"/>
    <w:rsid w:val="0085124A"/>
    <w:rsid w:val="008607F3"/>
    <w:rsid w:val="00863189"/>
    <w:rsid w:val="00865A05"/>
    <w:rsid w:val="008660FF"/>
    <w:rsid w:val="008727B6"/>
    <w:rsid w:val="008768B0"/>
    <w:rsid w:val="00877B2F"/>
    <w:rsid w:val="00877FDE"/>
    <w:rsid w:val="00884282"/>
    <w:rsid w:val="00885E97"/>
    <w:rsid w:val="00886C0B"/>
    <w:rsid w:val="00887948"/>
    <w:rsid w:val="0089463B"/>
    <w:rsid w:val="00895728"/>
    <w:rsid w:val="00895ECE"/>
    <w:rsid w:val="008A38BB"/>
    <w:rsid w:val="008A53CF"/>
    <w:rsid w:val="008B479A"/>
    <w:rsid w:val="008B4B43"/>
    <w:rsid w:val="008B58ED"/>
    <w:rsid w:val="008B7DC2"/>
    <w:rsid w:val="008C20A5"/>
    <w:rsid w:val="008C2601"/>
    <w:rsid w:val="008C2C3B"/>
    <w:rsid w:val="008C610A"/>
    <w:rsid w:val="008D2257"/>
    <w:rsid w:val="008D31AC"/>
    <w:rsid w:val="008D37C0"/>
    <w:rsid w:val="008D3B9C"/>
    <w:rsid w:val="008D6AD7"/>
    <w:rsid w:val="008D6B21"/>
    <w:rsid w:val="008D6F8F"/>
    <w:rsid w:val="008E00EB"/>
    <w:rsid w:val="008E03CA"/>
    <w:rsid w:val="008E145D"/>
    <w:rsid w:val="008E175C"/>
    <w:rsid w:val="008E274F"/>
    <w:rsid w:val="008E5462"/>
    <w:rsid w:val="008F00CB"/>
    <w:rsid w:val="008F07FC"/>
    <w:rsid w:val="008F3AB3"/>
    <w:rsid w:val="008F49C3"/>
    <w:rsid w:val="008F5758"/>
    <w:rsid w:val="00902DE5"/>
    <w:rsid w:val="0090440B"/>
    <w:rsid w:val="0090442C"/>
    <w:rsid w:val="0090525B"/>
    <w:rsid w:val="00905752"/>
    <w:rsid w:val="009077CE"/>
    <w:rsid w:val="0091023E"/>
    <w:rsid w:val="009106C9"/>
    <w:rsid w:val="0091083A"/>
    <w:rsid w:val="0091104F"/>
    <w:rsid w:val="00912FBA"/>
    <w:rsid w:val="00913089"/>
    <w:rsid w:val="009140A5"/>
    <w:rsid w:val="00914571"/>
    <w:rsid w:val="00916CBA"/>
    <w:rsid w:val="00916F8E"/>
    <w:rsid w:val="00921A29"/>
    <w:rsid w:val="00923019"/>
    <w:rsid w:val="00925453"/>
    <w:rsid w:val="009255B2"/>
    <w:rsid w:val="00930BD3"/>
    <w:rsid w:val="00931CB1"/>
    <w:rsid w:val="00931D0F"/>
    <w:rsid w:val="00931EAC"/>
    <w:rsid w:val="009326E4"/>
    <w:rsid w:val="0093278D"/>
    <w:rsid w:val="00933C61"/>
    <w:rsid w:val="00933D5A"/>
    <w:rsid w:val="00936B26"/>
    <w:rsid w:val="00937AFB"/>
    <w:rsid w:val="009418A4"/>
    <w:rsid w:val="009467F3"/>
    <w:rsid w:val="00946A65"/>
    <w:rsid w:val="009474AB"/>
    <w:rsid w:val="009477F6"/>
    <w:rsid w:val="009503BC"/>
    <w:rsid w:val="00954D95"/>
    <w:rsid w:val="0095523F"/>
    <w:rsid w:val="00955ADA"/>
    <w:rsid w:val="009561C8"/>
    <w:rsid w:val="00961113"/>
    <w:rsid w:val="00962C45"/>
    <w:rsid w:val="009663B8"/>
    <w:rsid w:val="0096683F"/>
    <w:rsid w:val="00971D45"/>
    <w:rsid w:val="00972597"/>
    <w:rsid w:val="00974171"/>
    <w:rsid w:val="00976351"/>
    <w:rsid w:val="00977BC9"/>
    <w:rsid w:val="00980A39"/>
    <w:rsid w:val="00985F7E"/>
    <w:rsid w:val="00986A8E"/>
    <w:rsid w:val="00990E52"/>
    <w:rsid w:val="00991350"/>
    <w:rsid w:val="009919E1"/>
    <w:rsid w:val="00992CFD"/>
    <w:rsid w:val="009939E7"/>
    <w:rsid w:val="00995358"/>
    <w:rsid w:val="0099776C"/>
    <w:rsid w:val="009A2A2C"/>
    <w:rsid w:val="009A5B76"/>
    <w:rsid w:val="009A7D20"/>
    <w:rsid w:val="009B0075"/>
    <w:rsid w:val="009B1ED9"/>
    <w:rsid w:val="009B2AEA"/>
    <w:rsid w:val="009B2F57"/>
    <w:rsid w:val="009B4C24"/>
    <w:rsid w:val="009B515A"/>
    <w:rsid w:val="009B736D"/>
    <w:rsid w:val="009B7E9D"/>
    <w:rsid w:val="009C1350"/>
    <w:rsid w:val="009C4AB7"/>
    <w:rsid w:val="009C5E9D"/>
    <w:rsid w:val="009C6CEA"/>
    <w:rsid w:val="009C74E1"/>
    <w:rsid w:val="009C7B4C"/>
    <w:rsid w:val="009C7F32"/>
    <w:rsid w:val="009D0EB9"/>
    <w:rsid w:val="009D0FB8"/>
    <w:rsid w:val="009D1014"/>
    <w:rsid w:val="009D21CE"/>
    <w:rsid w:val="009D606B"/>
    <w:rsid w:val="009E0B2C"/>
    <w:rsid w:val="009E5EB1"/>
    <w:rsid w:val="009F0880"/>
    <w:rsid w:val="009F2B55"/>
    <w:rsid w:val="009F3DA4"/>
    <w:rsid w:val="009F5F80"/>
    <w:rsid w:val="009F67F0"/>
    <w:rsid w:val="00A0782F"/>
    <w:rsid w:val="00A10CC3"/>
    <w:rsid w:val="00A13ABA"/>
    <w:rsid w:val="00A14F81"/>
    <w:rsid w:val="00A15144"/>
    <w:rsid w:val="00A15E7C"/>
    <w:rsid w:val="00A16F16"/>
    <w:rsid w:val="00A17DE6"/>
    <w:rsid w:val="00A2171E"/>
    <w:rsid w:val="00A2189E"/>
    <w:rsid w:val="00A21BFD"/>
    <w:rsid w:val="00A22ADE"/>
    <w:rsid w:val="00A237DF"/>
    <w:rsid w:val="00A25838"/>
    <w:rsid w:val="00A25D5C"/>
    <w:rsid w:val="00A26BA8"/>
    <w:rsid w:val="00A31D88"/>
    <w:rsid w:val="00A32E6D"/>
    <w:rsid w:val="00A3442D"/>
    <w:rsid w:val="00A347BE"/>
    <w:rsid w:val="00A36712"/>
    <w:rsid w:val="00A36DBC"/>
    <w:rsid w:val="00A41327"/>
    <w:rsid w:val="00A4271C"/>
    <w:rsid w:val="00A465C8"/>
    <w:rsid w:val="00A477D1"/>
    <w:rsid w:val="00A51C0B"/>
    <w:rsid w:val="00A51D6D"/>
    <w:rsid w:val="00A52E04"/>
    <w:rsid w:val="00A6057E"/>
    <w:rsid w:val="00A60AF8"/>
    <w:rsid w:val="00A6395F"/>
    <w:rsid w:val="00A65502"/>
    <w:rsid w:val="00A67499"/>
    <w:rsid w:val="00A70285"/>
    <w:rsid w:val="00A735DC"/>
    <w:rsid w:val="00A73C9C"/>
    <w:rsid w:val="00A75EFE"/>
    <w:rsid w:val="00A77734"/>
    <w:rsid w:val="00A80294"/>
    <w:rsid w:val="00A813ED"/>
    <w:rsid w:val="00A900F0"/>
    <w:rsid w:val="00A92B42"/>
    <w:rsid w:val="00A933EB"/>
    <w:rsid w:val="00A93C02"/>
    <w:rsid w:val="00A944E1"/>
    <w:rsid w:val="00A94BA8"/>
    <w:rsid w:val="00A95667"/>
    <w:rsid w:val="00AA1264"/>
    <w:rsid w:val="00AA32E9"/>
    <w:rsid w:val="00AA410A"/>
    <w:rsid w:val="00AA7B42"/>
    <w:rsid w:val="00AB0402"/>
    <w:rsid w:val="00AB21E7"/>
    <w:rsid w:val="00AC16BF"/>
    <w:rsid w:val="00AC3034"/>
    <w:rsid w:val="00AC62CC"/>
    <w:rsid w:val="00AC7116"/>
    <w:rsid w:val="00AD3B06"/>
    <w:rsid w:val="00AD48D0"/>
    <w:rsid w:val="00AD6E3F"/>
    <w:rsid w:val="00AD72EB"/>
    <w:rsid w:val="00AD73E8"/>
    <w:rsid w:val="00AD7F83"/>
    <w:rsid w:val="00AE0E13"/>
    <w:rsid w:val="00AE19FC"/>
    <w:rsid w:val="00AE2DE5"/>
    <w:rsid w:val="00AE5C11"/>
    <w:rsid w:val="00AF1A92"/>
    <w:rsid w:val="00AF3749"/>
    <w:rsid w:val="00AF405C"/>
    <w:rsid w:val="00AF45D7"/>
    <w:rsid w:val="00B0327F"/>
    <w:rsid w:val="00B06273"/>
    <w:rsid w:val="00B068AE"/>
    <w:rsid w:val="00B07526"/>
    <w:rsid w:val="00B12230"/>
    <w:rsid w:val="00B1322D"/>
    <w:rsid w:val="00B135B4"/>
    <w:rsid w:val="00B13AB7"/>
    <w:rsid w:val="00B24837"/>
    <w:rsid w:val="00B27DD6"/>
    <w:rsid w:val="00B313C0"/>
    <w:rsid w:val="00B3639D"/>
    <w:rsid w:val="00B367EB"/>
    <w:rsid w:val="00B40182"/>
    <w:rsid w:val="00B40CC1"/>
    <w:rsid w:val="00B40FC7"/>
    <w:rsid w:val="00B42367"/>
    <w:rsid w:val="00B54BDF"/>
    <w:rsid w:val="00B5535B"/>
    <w:rsid w:val="00B55CA9"/>
    <w:rsid w:val="00B570A8"/>
    <w:rsid w:val="00B6083B"/>
    <w:rsid w:val="00B63638"/>
    <w:rsid w:val="00B645BB"/>
    <w:rsid w:val="00B64816"/>
    <w:rsid w:val="00B64B9E"/>
    <w:rsid w:val="00B712A1"/>
    <w:rsid w:val="00B7330A"/>
    <w:rsid w:val="00B752A8"/>
    <w:rsid w:val="00B75BE6"/>
    <w:rsid w:val="00B76EE4"/>
    <w:rsid w:val="00B775A4"/>
    <w:rsid w:val="00B77F17"/>
    <w:rsid w:val="00B82BC8"/>
    <w:rsid w:val="00B90D17"/>
    <w:rsid w:val="00B93683"/>
    <w:rsid w:val="00B96BF1"/>
    <w:rsid w:val="00BA4DFF"/>
    <w:rsid w:val="00BA5229"/>
    <w:rsid w:val="00BA613C"/>
    <w:rsid w:val="00BB01D3"/>
    <w:rsid w:val="00BB2ECE"/>
    <w:rsid w:val="00BB5C24"/>
    <w:rsid w:val="00BB6924"/>
    <w:rsid w:val="00BB6F5E"/>
    <w:rsid w:val="00BB7898"/>
    <w:rsid w:val="00BC1663"/>
    <w:rsid w:val="00BC2900"/>
    <w:rsid w:val="00BC382F"/>
    <w:rsid w:val="00BC578E"/>
    <w:rsid w:val="00BC5D6F"/>
    <w:rsid w:val="00BC6015"/>
    <w:rsid w:val="00BD0CAA"/>
    <w:rsid w:val="00BD1913"/>
    <w:rsid w:val="00BD1EDC"/>
    <w:rsid w:val="00BD2039"/>
    <w:rsid w:val="00BD29B2"/>
    <w:rsid w:val="00BD35C5"/>
    <w:rsid w:val="00BD3CE8"/>
    <w:rsid w:val="00BD4899"/>
    <w:rsid w:val="00BD584C"/>
    <w:rsid w:val="00BE0102"/>
    <w:rsid w:val="00BE0533"/>
    <w:rsid w:val="00BE2F0D"/>
    <w:rsid w:val="00BE42B8"/>
    <w:rsid w:val="00BE4392"/>
    <w:rsid w:val="00BE5278"/>
    <w:rsid w:val="00BE5C06"/>
    <w:rsid w:val="00BE7701"/>
    <w:rsid w:val="00BF0C5F"/>
    <w:rsid w:val="00BF254F"/>
    <w:rsid w:val="00BF312C"/>
    <w:rsid w:val="00BF3561"/>
    <w:rsid w:val="00BF5150"/>
    <w:rsid w:val="00BF548D"/>
    <w:rsid w:val="00BF5CEE"/>
    <w:rsid w:val="00BF6E1A"/>
    <w:rsid w:val="00C01C10"/>
    <w:rsid w:val="00C02212"/>
    <w:rsid w:val="00C03A8A"/>
    <w:rsid w:val="00C04440"/>
    <w:rsid w:val="00C12411"/>
    <w:rsid w:val="00C217D7"/>
    <w:rsid w:val="00C230F7"/>
    <w:rsid w:val="00C344D2"/>
    <w:rsid w:val="00C34F70"/>
    <w:rsid w:val="00C3617B"/>
    <w:rsid w:val="00C37F67"/>
    <w:rsid w:val="00C418BE"/>
    <w:rsid w:val="00C42ACB"/>
    <w:rsid w:val="00C44E9F"/>
    <w:rsid w:val="00C45B02"/>
    <w:rsid w:val="00C46092"/>
    <w:rsid w:val="00C46237"/>
    <w:rsid w:val="00C46299"/>
    <w:rsid w:val="00C46579"/>
    <w:rsid w:val="00C501D5"/>
    <w:rsid w:val="00C523C0"/>
    <w:rsid w:val="00C53460"/>
    <w:rsid w:val="00C56B54"/>
    <w:rsid w:val="00C57726"/>
    <w:rsid w:val="00C60B04"/>
    <w:rsid w:val="00C70089"/>
    <w:rsid w:val="00C711E6"/>
    <w:rsid w:val="00C714D0"/>
    <w:rsid w:val="00C75649"/>
    <w:rsid w:val="00C767D5"/>
    <w:rsid w:val="00C77438"/>
    <w:rsid w:val="00C80792"/>
    <w:rsid w:val="00C8110F"/>
    <w:rsid w:val="00C82304"/>
    <w:rsid w:val="00C84D56"/>
    <w:rsid w:val="00C85203"/>
    <w:rsid w:val="00C8685F"/>
    <w:rsid w:val="00C90C19"/>
    <w:rsid w:val="00C91A2F"/>
    <w:rsid w:val="00C91FA5"/>
    <w:rsid w:val="00C92AD1"/>
    <w:rsid w:val="00C93CB1"/>
    <w:rsid w:val="00C94D2D"/>
    <w:rsid w:val="00C956DD"/>
    <w:rsid w:val="00C966F8"/>
    <w:rsid w:val="00CA0C12"/>
    <w:rsid w:val="00CA140C"/>
    <w:rsid w:val="00CA2204"/>
    <w:rsid w:val="00CA25A3"/>
    <w:rsid w:val="00CA3AD0"/>
    <w:rsid w:val="00CA3BCE"/>
    <w:rsid w:val="00CA5E33"/>
    <w:rsid w:val="00CA6587"/>
    <w:rsid w:val="00CA6AE1"/>
    <w:rsid w:val="00CA76F8"/>
    <w:rsid w:val="00CB0084"/>
    <w:rsid w:val="00CB0823"/>
    <w:rsid w:val="00CB2981"/>
    <w:rsid w:val="00CB2E67"/>
    <w:rsid w:val="00CB30B9"/>
    <w:rsid w:val="00CB4254"/>
    <w:rsid w:val="00CB44F0"/>
    <w:rsid w:val="00CB5B71"/>
    <w:rsid w:val="00CB5CB9"/>
    <w:rsid w:val="00CB6C87"/>
    <w:rsid w:val="00CB73CA"/>
    <w:rsid w:val="00CC15D6"/>
    <w:rsid w:val="00CC6682"/>
    <w:rsid w:val="00CD111D"/>
    <w:rsid w:val="00CD1270"/>
    <w:rsid w:val="00CD1A03"/>
    <w:rsid w:val="00CD3CDD"/>
    <w:rsid w:val="00CD46F7"/>
    <w:rsid w:val="00CD58A6"/>
    <w:rsid w:val="00CD5EE7"/>
    <w:rsid w:val="00CD70DE"/>
    <w:rsid w:val="00CD7135"/>
    <w:rsid w:val="00CD7D22"/>
    <w:rsid w:val="00CE3056"/>
    <w:rsid w:val="00CE5DB3"/>
    <w:rsid w:val="00CE66A6"/>
    <w:rsid w:val="00CE6974"/>
    <w:rsid w:val="00CE7A1A"/>
    <w:rsid w:val="00CE7E1A"/>
    <w:rsid w:val="00CF12F2"/>
    <w:rsid w:val="00CF2BC7"/>
    <w:rsid w:val="00CF39E7"/>
    <w:rsid w:val="00D00DDA"/>
    <w:rsid w:val="00D022C1"/>
    <w:rsid w:val="00D10142"/>
    <w:rsid w:val="00D10972"/>
    <w:rsid w:val="00D122DB"/>
    <w:rsid w:val="00D137BF"/>
    <w:rsid w:val="00D13EA5"/>
    <w:rsid w:val="00D151FE"/>
    <w:rsid w:val="00D15F79"/>
    <w:rsid w:val="00D170F0"/>
    <w:rsid w:val="00D17851"/>
    <w:rsid w:val="00D17E1E"/>
    <w:rsid w:val="00D21440"/>
    <w:rsid w:val="00D3343F"/>
    <w:rsid w:val="00D3644D"/>
    <w:rsid w:val="00D3733A"/>
    <w:rsid w:val="00D37579"/>
    <w:rsid w:val="00D415C4"/>
    <w:rsid w:val="00D41D7F"/>
    <w:rsid w:val="00D421F1"/>
    <w:rsid w:val="00D4317A"/>
    <w:rsid w:val="00D51E68"/>
    <w:rsid w:val="00D53720"/>
    <w:rsid w:val="00D60981"/>
    <w:rsid w:val="00D61793"/>
    <w:rsid w:val="00D64530"/>
    <w:rsid w:val="00D65F19"/>
    <w:rsid w:val="00D70565"/>
    <w:rsid w:val="00D70A65"/>
    <w:rsid w:val="00D734E9"/>
    <w:rsid w:val="00D74A18"/>
    <w:rsid w:val="00D75B81"/>
    <w:rsid w:val="00D75C66"/>
    <w:rsid w:val="00D80E3A"/>
    <w:rsid w:val="00D82177"/>
    <w:rsid w:val="00D84153"/>
    <w:rsid w:val="00D84F15"/>
    <w:rsid w:val="00D8551F"/>
    <w:rsid w:val="00D856F7"/>
    <w:rsid w:val="00D86E9C"/>
    <w:rsid w:val="00D87822"/>
    <w:rsid w:val="00D9037E"/>
    <w:rsid w:val="00D907B5"/>
    <w:rsid w:val="00D908F5"/>
    <w:rsid w:val="00D90B1D"/>
    <w:rsid w:val="00D912A4"/>
    <w:rsid w:val="00D9358E"/>
    <w:rsid w:val="00D94884"/>
    <w:rsid w:val="00D955B7"/>
    <w:rsid w:val="00D96A69"/>
    <w:rsid w:val="00D97707"/>
    <w:rsid w:val="00D97E76"/>
    <w:rsid w:val="00DA17FE"/>
    <w:rsid w:val="00DA25CF"/>
    <w:rsid w:val="00DA2F76"/>
    <w:rsid w:val="00DA3439"/>
    <w:rsid w:val="00DA373F"/>
    <w:rsid w:val="00DA61C1"/>
    <w:rsid w:val="00DA632B"/>
    <w:rsid w:val="00DA6F8E"/>
    <w:rsid w:val="00DA74FB"/>
    <w:rsid w:val="00DB4874"/>
    <w:rsid w:val="00DB4ADC"/>
    <w:rsid w:val="00DC18F0"/>
    <w:rsid w:val="00DC2951"/>
    <w:rsid w:val="00DC6808"/>
    <w:rsid w:val="00DC7249"/>
    <w:rsid w:val="00DC777B"/>
    <w:rsid w:val="00DD1446"/>
    <w:rsid w:val="00DD2943"/>
    <w:rsid w:val="00DD38A5"/>
    <w:rsid w:val="00DD55BF"/>
    <w:rsid w:val="00DD794E"/>
    <w:rsid w:val="00DE46A3"/>
    <w:rsid w:val="00DE5F81"/>
    <w:rsid w:val="00DE787A"/>
    <w:rsid w:val="00DF0C8F"/>
    <w:rsid w:val="00DF2241"/>
    <w:rsid w:val="00DF22E9"/>
    <w:rsid w:val="00DF41B8"/>
    <w:rsid w:val="00DF5F50"/>
    <w:rsid w:val="00DF604C"/>
    <w:rsid w:val="00DF7C6C"/>
    <w:rsid w:val="00E01647"/>
    <w:rsid w:val="00E01F86"/>
    <w:rsid w:val="00E0327B"/>
    <w:rsid w:val="00E114BC"/>
    <w:rsid w:val="00E12D4E"/>
    <w:rsid w:val="00E139A8"/>
    <w:rsid w:val="00E14FA1"/>
    <w:rsid w:val="00E16177"/>
    <w:rsid w:val="00E16A6F"/>
    <w:rsid w:val="00E16C29"/>
    <w:rsid w:val="00E1718B"/>
    <w:rsid w:val="00E260C7"/>
    <w:rsid w:val="00E269CC"/>
    <w:rsid w:val="00E27B14"/>
    <w:rsid w:val="00E328F8"/>
    <w:rsid w:val="00E333C1"/>
    <w:rsid w:val="00E33A2A"/>
    <w:rsid w:val="00E371EF"/>
    <w:rsid w:val="00E37E35"/>
    <w:rsid w:val="00E54662"/>
    <w:rsid w:val="00E54BED"/>
    <w:rsid w:val="00E5679D"/>
    <w:rsid w:val="00E571D9"/>
    <w:rsid w:val="00E60A83"/>
    <w:rsid w:val="00E616A8"/>
    <w:rsid w:val="00E618DE"/>
    <w:rsid w:val="00E63127"/>
    <w:rsid w:val="00E64C89"/>
    <w:rsid w:val="00E6668C"/>
    <w:rsid w:val="00E70893"/>
    <w:rsid w:val="00E7139F"/>
    <w:rsid w:val="00E71D3F"/>
    <w:rsid w:val="00E7255A"/>
    <w:rsid w:val="00E73712"/>
    <w:rsid w:val="00E73BB6"/>
    <w:rsid w:val="00E7467B"/>
    <w:rsid w:val="00E75EBD"/>
    <w:rsid w:val="00E768A3"/>
    <w:rsid w:val="00E77FD1"/>
    <w:rsid w:val="00E818D9"/>
    <w:rsid w:val="00E8257F"/>
    <w:rsid w:val="00E83C19"/>
    <w:rsid w:val="00E84F21"/>
    <w:rsid w:val="00E917CD"/>
    <w:rsid w:val="00E919C6"/>
    <w:rsid w:val="00E91F55"/>
    <w:rsid w:val="00EA1C39"/>
    <w:rsid w:val="00EA552B"/>
    <w:rsid w:val="00EA6A73"/>
    <w:rsid w:val="00EB0F2C"/>
    <w:rsid w:val="00EB248F"/>
    <w:rsid w:val="00EB453D"/>
    <w:rsid w:val="00EB461A"/>
    <w:rsid w:val="00EB499B"/>
    <w:rsid w:val="00EB55EC"/>
    <w:rsid w:val="00EC14DC"/>
    <w:rsid w:val="00EC50A6"/>
    <w:rsid w:val="00EC5E10"/>
    <w:rsid w:val="00EC6458"/>
    <w:rsid w:val="00ED0B8B"/>
    <w:rsid w:val="00ED1EA3"/>
    <w:rsid w:val="00ED25E9"/>
    <w:rsid w:val="00ED391A"/>
    <w:rsid w:val="00ED6214"/>
    <w:rsid w:val="00EE0187"/>
    <w:rsid w:val="00EE0229"/>
    <w:rsid w:val="00EE0242"/>
    <w:rsid w:val="00EE0B75"/>
    <w:rsid w:val="00EE364E"/>
    <w:rsid w:val="00EE66BC"/>
    <w:rsid w:val="00EE6ED3"/>
    <w:rsid w:val="00EF2972"/>
    <w:rsid w:val="00EF4DFD"/>
    <w:rsid w:val="00EF515C"/>
    <w:rsid w:val="00EF59D8"/>
    <w:rsid w:val="00EF5F7F"/>
    <w:rsid w:val="00EF6632"/>
    <w:rsid w:val="00EF7688"/>
    <w:rsid w:val="00F00C72"/>
    <w:rsid w:val="00F0103A"/>
    <w:rsid w:val="00F04243"/>
    <w:rsid w:val="00F1017F"/>
    <w:rsid w:val="00F105FB"/>
    <w:rsid w:val="00F10C31"/>
    <w:rsid w:val="00F110E1"/>
    <w:rsid w:val="00F123AE"/>
    <w:rsid w:val="00F15369"/>
    <w:rsid w:val="00F15797"/>
    <w:rsid w:val="00F259E6"/>
    <w:rsid w:val="00F26C41"/>
    <w:rsid w:val="00F26E5E"/>
    <w:rsid w:val="00F3006C"/>
    <w:rsid w:val="00F33768"/>
    <w:rsid w:val="00F3421E"/>
    <w:rsid w:val="00F34767"/>
    <w:rsid w:val="00F34CBB"/>
    <w:rsid w:val="00F36C6C"/>
    <w:rsid w:val="00F408DB"/>
    <w:rsid w:val="00F506AA"/>
    <w:rsid w:val="00F509F0"/>
    <w:rsid w:val="00F51829"/>
    <w:rsid w:val="00F51D51"/>
    <w:rsid w:val="00F54061"/>
    <w:rsid w:val="00F54757"/>
    <w:rsid w:val="00F548CB"/>
    <w:rsid w:val="00F558F0"/>
    <w:rsid w:val="00F55AB0"/>
    <w:rsid w:val="00F563D6"/>
    <w:rsid w:val="00F57853"/>
    <w:rsid w:val="00F61A5C"/>
    <w:rsid w:val="00F64AD0"/>
    <w:rsid w:val="00F6576B"/>
    <w:rsid w:val="00F702CB"/>
    <w:rsid w:val="00F70EFB"/>
    <w:rsid w:val="00F71ACE"/>
    <w:rsid w:val="00F72BF1"/>
    <w:rsid w:val="00F73ADA"/>
    <w:rsid w:val="00F75866"/>
    <w:rsid w:val="00F75F90"/>
    <w:rsid w:val="00F7777E"/>
    <w:rsid w:val="00F8038B"/>
    <w:rsid w:val="00F8347B"/>
    <w:rsid w:val="00F84FFF"/>
    <w:rsid w:val="00F91510"/>
    <w:rsid w:val="00F92162"/>
    <w:rsid w:val="00F92F41"/>
    <w:rsid w:val="00F935CA"/>
    <w:rsid w:val="00F9420E"/>
    <w:rsid w:val="00F94D9A"/>
    <w:rsid w:val="00F9504A"/>
    <w:rsid w:val="00F9652C"/>
    <w:rsid w:val="00F97A6C"/>
    <w:rsid w:val="00FA1D29"/>
    <w:rsid w:val="00FA772E"/>
    <w:rsid w:val="00FB481D"/>
    <w:rsid w:val="00FB5D0C"/>
    <w:rsid w:val="00FB74BF"/>
    <w:rsid w:val="00FC02E5"/>
    <w:rsid w:val="00FC0645"/>
    <w:rsid w:val="00FC110C"/>
    <w:rsid w:val="00FC1263"/>
    <w:rsid w:val="00FD0340"/>
    <w:rsid w:val="00FD1DBB"/>
    <w:rsid w:val="00FD72FE"/>
    <w:rsid w:val="00FE1F64"/>
    <w:rsid w:val="00FE3C2B"/>
    <w:rsid w:val="00FF1DBF"/>
    <w:rsid w:val="00FF3250"/>
    <w:rsid w:val="00FF3D8C"/>
    <w:rsid w:val="00FF3DD3"/>
    <w:rsid w:val="00FF5EBB"/>
    <w:rsid w:val="00FF7A6C"/>
    <w:rsid w:val="02DB4B64"/>
    <w:rsid w:val="08434997"/>
    <w:rsid w:val="088A2147"/>
    <w:rsid w:val="14533D26"/>
    <w:rsid w:val="176F1393"/>
    <w:rsid w:val="1C3A7DE3"/>
    <w:rsid w:val="1F854100"/>
    <w:rsid w:val="23255CBD"/>
    <w:rsid w:val="234D2F93"/>
    <w:rsid w:val="250E1296"/>
    <w:rsid w:val="308A680F"/>
    <w:rsid w:val="310F0A33"/>
    <w:rsid w:val="33D52043"/>
    <w:rsid w:val="424A1F70"/>
    <w:rsid w:val="4EDE1647"/>
    <w:rsid w:val="4F664DE2"/>
    <w:rsid w:val="513F1CF8"/>
    <w:rsid w:val="52714FD2"/>
    <w:rsid w:val="5C97118C"/>
    <w:rsid w:val="633E436C"/>
    <w:rsid w:val="775310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fillcolor="white">
      <v:fill color="white"/>
    </o:shapedefaults>
    <o:shapelayout v:ext="edit">
      <o:idmap v:ext="edit" data="1"/>
    </o:shapelayout>
  </w:shapeDefaults>
  <w:decimalSymbol w:val="."/>
  <w:listSeparator w:val=","/>
  <w14:docId w14:val="528D251E"/>
  <w15:docId w15:val="{3F246C75-3BCC-4360-91E7-90F65D0E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line="360" w:lineRule="auto"/>
      <w:jc w:val="both"/>
    </w:pPr>
    <w:rPr>
      <w:kern w:val="2"/>
      <w:sz w:val="21"/>
      <w:szCs w:val="24"/>
    </w:rPr>
  </w:style>
  <w:style w:type="paragraph" w:styleId="1">
    <w:name w:val="heading 1"/>
    <w:basedOn w:val="a"/>
    <w:next w:val="a"/>
    <w:qFormat/>
    <w:pPr>
      <w:keepNext/>
      <w:keepLines/>
      <w:spacing w:before="340" w:after="330" w:line="576" w:lineRule="auto"/>
      <w:outlineLvl w:val="0"/>
    </w:pPr>
    <w:rPr>
      <w:b/>
      <w:bCs/>
      <w:kern w:val="44"/>
      <w:sz w:val="44"/>
      <w:szCs w:val="44"/>
    </w:rPr>
  </w:style>
  <w:style w:type="paragraph" w:styleId="2">
    <w:name w:val="heading 2"/>
    <w:basedOn w:val="a"/>
    <w:next w:val="a"/>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3" w:lineRule="auto"/>
      <w:outlineLvl w:val="2"/>
    </w:pPr>
    <w:rPr>
      <w:b/>
      <w:bCs/>
      <w:sz w:val="32"/>
      <w:szCs w:val="32"/>
    </w:rPr>
  </w:style>
  <w:style w:type="paragraph" w:styleId="4">
    <w:name w:val="heading 4"/>
    <w:basedOn w:val="a"/>
    <w:next w:val="a"/>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qFormat/>
    <w:pPr>
      <w:keepNext/>
      <w:keepLines/>
      <w:spacing w:before="280" w:after="290" w:line="372" w:lineRule="auto"/>
      <w:outlineLvl w:val="4"/>
    </w:pPr>
    <w:rPr>
      <w:b/>
      <w:bCs/>
      <w:sz w:val="28"/>
      <w:szCs w:val="28"/>
    </w:rPr>
  </w:style>
  <w:style w:type="paragraph" w:styleId="6">
    <w:name w:val="heading 6"/>
    <w:basedOn w:val="a"/>
    <w:next w:val="a"/>
    <w:qFormat/>
    <w:pPr>
      <w:keepNext/>
      <w:keepLines/>
      <w:spacing w:before="240" w:after="64" w:line="317" w:lineRule="auto"/>
      <w:outlineLvl w:val="5"/>
    </w:pPr>
    <w:rPr>
      <w:rFonts w:ascii="Arial" w:eastAsia="黑体" w:hAnsi="Arial"/>
      <w:b/>
      <w:bCs/>
      <w:sz w:val="24"/>
    </w:rPr>
  </w:style>
  <w:style w:type="paragraph" w:styleId="7">
    <w:name w:val="heading 7"/>
    <w:basedOn w:val="a"/>
    <w:next w:val="a"/>
    <w:qFormat/>
    <w:pPr>
      <w:keepNext/>
      <w:keepLines/>
      <w:spacing w:before="240" w:after="64" w:line="317" w:lineRule="auto"/>
      <w:outlineLvl w:val="6"/>
    </w:pPr>
    <w:rPr>
      <w:b/>
      <w:bCs/>
      <w:sz w:val="24"/>
    </w:rPr>
  </w:style>
  <w:style w:type="paragraph" w:styleId="8">
    <w:name w:val="heading 8"/>
    <w:basedOn w:val="a"/>
    <w:next w:val="a"/>
    <w:qFormat/>
    <w:pPr>
      <w:keepNext/>
      <w:keepLines/>
      <w:spacing w:before="240" w:after="64" w:line="317" w:lineRule="auto"/>
      <w:outlineLvl w:val="7"/>
    </w:pPr>
    <w:rPr>
      <w:rFonts w:ascii="Arial" w:eastAsia="黑体" w:hAnsi="Arial"/>
      <w:sz w:val="24"/>
    </w:rPr>
  </w:style>
  <w:style w:type="paragraph" w:styleId="9">
    <w:name w:val="heading 9"/>
    <w:basedOn w:val="a"/>
    <w:next w:val="a"/>
    <w:qFormat/>
    <w:pPr>
      <w:keepNext/>
      <w:keepLines/>
      <w:spacing w:before="240" w:after="64" w:line="317"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TOC6"/>
    <w:next w:val="a"/>
    <w:qFormat/>
  </w:style>
  <w:style w:type="paragraph" w:styleId="TOC6">
    <w:name w:val="toc 6"/>
    <w:basedOn w:val="TOC5"/>
    <w:next w:val="a"/>
    <w:qFormat/>
  </w:style>
  <w:style w:type="paragraph" w:styleId="TOC5">
    <w:name w:val="toc 5"/>
    <w:basedOn w:val="TOC4"/>
    <w:next w:val="a"/>
    <w:qFormat/>
  </w:style>
  <w:style w:type="paragraph" w:styleId="TOC4">
    <w:name w:val="toc 4"/>
    <w:basedOn w:val="TOC3"/>
    <w:next w:val="a"/>
    <w:qFormat/>
  </w:style>
  <w:style w:type="paragraph" w:styleId="TOC3">
    <w:name w:val="toc 3"/>
    <w:basedOn w:val="TOC2"/>
    <w:next w:val="a"/>
    <w:qFormat/>
  </w:style>
  <w:style w:type="paragraph" w:styleId="TOC2">
    <w:name w:val="toc 2"/>
    <w:basedOn w:val="TOC1"/>
    <w:next w:val="a"/>
    <w:uiPriority w:val="39"/>
    <w:qFormat/>
  </w:style>
  <w:style w:type="paragraph" w:styleId="TOC1">
    <w:name w:val="toc 1"/>
    <w:next w:val="a"/>
    <w:uiPriority w:val="39"/>
    <w:qFormat/>
    <w:pPr>
      <w:spacing w:line="360" w:lineRule="auto"/>
      <w:jc w:val="both"/>
    </w:pPr>
    <w:rPr>
      <w:rFonts w:ascii="宋体"/>
      <w:sz w:val="21"/>
    </w:rPr>
  </w:style>
  <w:style w:type="paragraph" w:styleId="a3">
    <w:name w:val="Document Map"/>
    <w:basedOn w:val="a"/>
    <w:qFormat/>
    <w:pPr>
      <w:shd w:val="clear" w:color="auto" w:fill="000080"/>
    </w:pPr>
  </w:style>
  <w:style w:type="paragraph" w:styleId="a4">
    <w:name w:val="annotation text"/>
    <w:basedOn w:val="a"/>
    <w:link w:val="a5"/>
    <w:uiPriority w:val="99"/>
    <w:qFormat/>
    <w:pPr>
      <w:jc w:val="left"/>
    </w:pPr>
  </w:style>
  <w:style w:type="paragraph" w:styleId="a6">
    <w:name w:val="Body Text Indent"/>
    <w:basedOn w:val="a"/>
    <w:qFormat/>
    <w:pPr>
      <w:spacing w:after="120"/>
      <w:ind w:leftChars="200" w:left="420"/>
    </w:pPr>
  </w:style>
  <w:style w:type="paragraph" w:styleId="HTML">
    <w:name w:val="HTML Address"/>
    <w:basedOn w:val="a"/>
    <w:qFormat/>
    <w:rPr>
      <w:i/>
      <w:iCs/>
    </w:rPr>
  </w:style>
  <w:style w:type="paragraph" w:styleId="TOC8">
    <w:name w:val="toc 8"/>
    <w:basedOn w:val="TOC7"/>
    <w:next w:val="a"/>
    <w:qFormat/>
  </w:style>
  <w:style w:type="paragraph" w:styleId="a7">
    <w:name w:val="Date"/>
    <w:basedOn w:val="a"/>
    <w:next w:val="a"/>
    <w:qFormat/>
    <w:pPr>
      <w:ind w:leftChars="2500" w:left="100"/>
    </w:pPr>
  </w:style>
  <w:style w:type="paragraph" w:styleId="a8">
    <w:name w:val="Balloon Text"/>
    <w:basedOn w:val="a"/>
    <w:qFormat/>
    <w:rPr>
      <w:sz w:val="18"/>
      <w:szCs w:val="18"/>
    </w:rPr>
  </w:style>
  <w:style w:type="paragraph" w:styleId="a9">
    <w:name w:val="footer"/>
    <w:basedOn w:val="a"/>
    <w:link w:val="aa"/>
    <w:uiPriority w:val="99"/>
    <w:qFormat/>
    <w:pPr>
      <w:tabs>
        <w:tab w:val="center" w:pos="4153"/>
        <w:tab w:val="right" w:pos="8306"/>
      </w:tabs>
      <w:snapToGrid w:val="0"/>
      <w:ind w:rightChars="100" w:right="210"/>
      <w:jc w:val="right"/>
    </w:pPr>
    <w:rPr>
      <w:sz w:val="18"/>
      <w:szCs w:val="18"/>
    </w:rPr>
  </w:style>
  <w:style w:type="paragraph" w:styleId="ab">
    <w:name w:val="header"/>
    <w:basedOn w:val="a"/>
    <w:qFormat/>
    <w:pPr>
      <w:pBdr>
        <w:bottom w:val="single" w:sz="6" w:space="1" w:color="auto"/>
      </w:pBdr>
      <w:tabs>
        <w:tab w:val="center" w:pos="4153"/>
        <w:tab w:val="right" w:pos="8306"/>
      </w:tabs>
      <w:snapToGrid w:val="0"/>
      <w:jc w:val="center"/>
    </w:pPr>
    <w:rPr>
      <w:sz w:val="18"/>
      <w:szCs w:val="18"/>
    </w:rPr>
  </w:style>
  <w:style w:type="paragraph" w:styleId="ac">
    <w:name w:val="footnote text"/>
    <w:basedOn w:val="a"/>
    <w:qFormat/>
    <w:pPr>
      <w:snapToGrid w:val="0"/>
      <w:jc w:val="left"/>
    </w:pPr>
    <w:rPr>
      <w:sz w:val="18"/>
      <w:szCs w:val="18"/>
    </w:rPr>
  </w:style>
  <w:style w:type="paragraph" w:styleId="TOC9">
    <w:name w:val="toc 9"/>
    <w:basedOn w:val="TOC8"/>
    <w:next w:val="a"/>
    <w:qFormat/>
  </w:style>
  <w:style w:type="paragraph" w:styleId="HTML0">
    <w:name w:val="HTML Preformatted"/>
    <w:basedOn w:val="a"/>
    <w:qFormat/>
    <w:rPr>
      <w:rFonts w:ascii="Courier New" w:hAnsi="Courier New" w:cs="Courier New"/>
      <w:sz w:val="20"/>
      <w:szCs w:val="20"/>
    </w:rPr>
  </w:style>
  <w:style w:type="paragraph" w:styleId="ad">
    <w:name w:val="Normal (Web)"/>
    <w:basedOn w:val="a"/>
    <w:uiPriority w:val="99"/>
    <w:unhideWhenUsed/>
    <w:qFormat/>
    <w:pPr>
      <w:spacing w:before="100" w:beforeAutospacing="1" w:after="100" w:afterAutospacing="1"/>
      <w:jc w:val="left"/>
    </w:pPr>
    <w:rPr>
      <w:rFonts w:ascii="宋体" w:hAnsi="宋体" w:cs="宋体"/>
      <w:kern w:val="0"/>
      <w:sz w:val="24"/>
    </w:rPr>
  </w:style>
  <w:style w:type="paragraph" w:styleId="10">
    <w:name w:val="index 1"/>
    <w:basedOn w:val="a"/>
    <w:next w:val="a"/>
    <w:qFormat/>
  </w:style>
  <w:style w:type="paragraph" w:styleId="ae">
    <w:name w:val="Title"/>
    <w:basedOn w:val="a"/>
    <w:qFormat/>
    <w:pPr>
      <w:spacing w:before="240" w:after="60"/>
      <w:jc w:val="center"/>
      <w:outlineLvl w:val="0"/>
    </w:pPr>
    <w:rPr>
      <w:rFonts w:ascii="Arial" w:hAnsi="Arial" w:cs="Arial"/>
      <w:b/>
      <w:bCs/>
      <w:sz w:val="32"/>
      <w:szCs w:val="32"/>
    </w:rPr>
  </w:style>
  <w:style w:type="paragraph" w:styleId="af">
    <w:name w:val="annotation subject"/>
    <w:basedOn w:val="a4"/>
    <w:next w:val="a4"/>
    <w:qFormat/>
    <w:rPr>
      <w:b/>
      <w:bCs/>
    </w:rPr>
  </w:style>
  <w:style w:type="table" w:styleId="af0">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bCs/>
    </w:rPr>
  </w:style>
  <w:style w:type="character" w:styleId="af2">
    <w:name w:val="page number"/>
    <w:qFormat/>
    <w:rPr>
      <w:rFonts w:ascii="Times New Roman" w:eastAsia="宋体" w:hAnsi="Times New Roman"/>
      <w:sz w:val="18"/>
    </w:rPr>
  </w:style>
  <w:style w:type="character" w:styleId="HTML1">
    <w:name w:val="HTML Definition"/>
    <w:qFormat/>
    <w:rPr>
      <w:i/>
      <w:iCs/>
    </w:rPr>
  </w:style>
  <w:style w:type="character" w:styleId="HTML2">
    <w:name w:val="HTML Typewriter"/>
    <w:qFormat/>
    <w:rPr>
      <w:rFonts w:ascii="Courier New" w:hAnsi="Courier New"/>
      <w:sz w:val="20"/>
      <w:szCs w:val="20"/>
    </w:rPr>
  </w:style>
  <w:style w:type="character" w:styleId="HTML3">
    <w:name w:val="HTML Acronym"/>
    <w:basedOn w:val="a0"/>
    <w:qFormat/>
  </w:style>
  <w:style w:type="character" w:styleId="HTML4">
    <w:name w:val="HTML Variable"/>
    <w:qFormat/>
    <w:rPr>
      <w:i/>
      <w:iCs/>
    </w:rPr>
  </w:style>
  <w:style w:type="character" w:styleId="af3">
    <w:name w:val="Hyperlink"/>
    <w:uiPriority w:val="99"/>
    <w:qFormat/>
    <w:rPr>
      <w:rFonts w:ascii="Times New Roman" w:eastAsia="宋体" w:hAnsi="Times New Roman"/>
      <w:color w:val="auto"/>
      <w:spacing w:val="0"/>
      <w:w w:val="100"/>
      <w:position w:val="0"/>
      <w:sz w:val="21"/>
      <w:u w:val="none"/>
      <w:vertAlign w:val="baseline"/>
    </w:rPr>
  </w:style>
  <w:style w:type="character" w:styleId="HTML5">
    <w:name w:val="HTML Code"/>
    <w:qFormat/>
    <w:rPr>
      <w:rFonts w:ascii="Courier New" w:hAnsi="Courier New"/>
      <w:sz w:val="20"/>
      <w:szCs w:val="20"/>
    </w:rPr>
  </w:style>
  <w:style w:type="character" w:styleId="af4">
    <w:name w:val="annotation reference"/>
    <w:uiPriority w:val="99"/>
    <w:qFormat/>
    <w:rPr>
      <w:sz w:val="21"/>
      <w:szCs w:val="21"/>
    </w:rPr>
  </w:style>
  <w:style w:type="character" w:styleId="HTML6">
    <w:name w:val="HTML Cite"/>
    <w:qFormat/>
    <w:rPr>
      <w:i/>
      <w:iCs/>
    </w:rPr>
  </w:style>
  <w:style w:type="character" w:styleId="af5">
    <w:name w:val="footnote reference"/>
    <w:qFormat/>
    <w:rPr>
      <w:vertAlign w:val="superscript"/>
    </w:rPr>
  </w:style>
  <w:style w:type="character" w:styleId="HTML7">
    <w:name w:val="HTML Keyboard"/>
    <w:qFormat/>
    <w:rPr>
      <w:rFonts w:ascii="Courier New" w:hAnsi="Courier New"/>
      <w:sz w:val="20"/>
      <w:szCs w:val="20"/>
    </w:rPr>
  </w:style>
  <w:style w:type="character" w:styleId="HTML8">
    <w:name w:val="HTML Sample"/>
    <w:qFormat/>
    <w:rPr>
      <w:rFonts w:ascii="Courier New" w:hAnsi="Courier New"/>
    </w:rPr>
  </w:style>
  <w:style w:type="character" w:customStyle="1" w:styleId="Char">
    <w:name w:val="二级条标题 Char"/>
    <w:link w:val="af6"/>
    <w:qFormat/>
    <w:rPr>
      <w:rFonts w:eastAsia="黑体"/>
      <w:kern w:val="2"/>
      <w:sz w:val="21"/>
      <w:szCs w:val="24"/>
      <w:lang w:val="en-US" w:eastAsia="zh-CN" w:bidi="ar-SA"/>
    </w:rPr>
  </w:style>
  <w:style w:type="paragraph" w:customStyle="1" w:styleId="af6">
    <w:name w:val="二级条标题"/>
    <w:basedOn w:val="af7"/>
    <w:next w:val="af8"/>
    <w:link w:val="Char"/>
    <w:qFormat/>
    <w:pPr>
      <w:ind w:left="210"/>
      <w:outlineLvl w:val="3"/>
    </w:pPr>
  </w:style>
  <w:style w:type="paragraph" w:customStyle="1" w:styleId="af7">
    <w:name w:val="一级条标题"/>
    <w:next w:val="af8"/>
    <w:link w:val="Char0"/>
    <w:qFormat/>
    <w:pPr>
      <w:spacing w:line="360" w:lineRule="auto"/>
      <w:jc w:val="both"/>
      <w:outlineLvl w:val="2"/>
    </w:pPr>
    <w:rPr>
      <w:rFonts w:eastAsia="黑体"/>
      <w:kern w:val="2"/>
      <w:sz w:val="21"/>
      <w:szCs w:val="24"/>
    </w:rPr>
  </w:style>
  <w:style w:type="paragraph" w:customStyle="1" w:styleId="af8">
    <w:name w:val="段"/>
    <w:link w:val="Char1"/>
    <w:qFormat/>
    <w:pPr>
      <w:autoSpaceDE w:val="0"/>
      <w:autoSpaceDN w:val="0"/>
      <w:spacing w:line="360" w:lineRule="auto"/>
      <w:ind w:firstLineChars="200" w:firstLine="200"/>
      <w:jc w:val="both"/>
    </w:pPr>
    <w:rPr>
      <w:rFonts w:ascii="宋体"/>
      <w:sz w:val="21"/>
    </w:rPr>
  </w:style>
  <w:style w:type="character" w:customStyle="1" w:styleId="af9">
    <w:name w:val="个人撰写风格"/>
    <w:qFormat/>
    <w:rPr>
      <w:rFonts w:ascii="Arial" w:eastAsia="宋体" w:hAnsi="Arial" w:cs="Arial"/>
      <w:color w:val="auto"/>
      <w:sz w:val="20"/>
    </w:rPr>
  </w:style>
  <w:style w:type="character" w:customStyle="1" w:styleId="labellist1">
    <w:name w:val="label_list1"/>
    <w:basedOn w:val="a0"/>
    <w:qFormat/>
  </w:style>
  <w:style w:type="character" w:customStyle="1" w:styleId="Char2">
    <w:name w:val="注： Char"/>
    <w:link w:val="afa"/>
    <w:qFormat/>
    <w:rPr>
      <w:rFonts w:ascii="宋体"/>
      <w:kern w:val="2"/>
      <w:sz w:val="18"/>
      <w:szCs w:val="24"/>
      <w:lang w:val="en-US" w:eastAsia="zh-CN" w:bidi="ar-SA"/>
    </w:rPr>
  </w:style>
  <w:style w:type="paragraph" w:customStyle="1" w:styleId="afa">
    <w:name w:val="注："/>
    <w:next w:val="af8"/>
    <w:link w:val="Char2"/>
    <w:qFormat/>
    <w:pPr>
      <w:widowControl w:val="0"/>
      <w:tabs>
        <w:tab w:val="left" w:pos="1140"/>
      </w:tabs>
      <w:autoSpaceDE w:val="0"/>
      <w:autoSpaceDN w:val="0"/>
      <w:spacing w:line="360" w:lineRule="auto"/>
      <w:ind w:left="840" w:hanging="420"/>
      <w:jc w:val="both"/>
    </w:pPr>
    <w:rPr>
      <w:rFonts w:ascii="宋体"/>
      <w:kern w:val="2"/>
      <w:sz w:val="18"/>
      <w:szCs w:val="24"/>
    </w:rPr>
  </w:style>
  <w:style w:type="character" w:customStyle="1" w:styleId="afb">
    <w:name w:val="个人答复风格"/>
    <w:qFormat/>
    <w:rPr>
      <w:rFonts w:ascii="Arial" w:eastAsia="宋体" w:hAnsi="Arial" w:cs="Arial"/>
      <w:color w:val="auto"/>
      <w:sz w:val="20"/>
    </w:rPr>
  </w:style>
  <w:style w:type="character" w:customStyle="1" w:styleId="afc">
    <w:name w:val="发布"/>
    <w:qFormat/>
    <w:rPr>
      <w:rFonts w:ascii="黑体" w:eastAsia="黑体"/>
      <w:spacing w:val="22"/>
      <w:w w:val="100"/>
      <w:position w:val="3"/>
      <w:sz w:val="28"/>
    </w:rPr>
  </w:style>
  <w:style w:type="character" w:customStyle="1" w:styleId="Char0">
    <w:name w:val="一级条标题 Char"/>
    <w:link w:val="af7"/>
    <w:qFormat/>
    <w:rPr>
      <w:rFonts w:eastAsia="黑体"/>
      <w:kern w:val="2"/>
      <w:sz w:val="21"/>
      <w:szCs w:val="24"/>
      <w:lang w:val="en-US" w:eastAsia="zh-CN" w:bidi="ar-SA"/>
    </w:rPr>
  </w:style>
  <w:style w:type="character" w:customStyle="1" w:styleId="high-light-bg">
    <w:name w:val="high-light-bg"/>
    <w:basedOn w:val="a0"/>
    <w:qFormat/>
  </w:style>
  <w:style w:type="character" w:customStyle="1" w:styleId="apple-converted-space">
    <w:name w:val="apple-converted-space"/>
    <w:basedOn w:val="a0"/>
    <w:qFormat/>
  </w:style>
  <w:style w:type="character" w:customStyle="1" w:styleId="aa">
    <w:name w:val="页脚 字符"/>
    <w:link w:val="a9"/>
    <w:uiPriority w:val="99"/>
    <w:qFormat/>
    <w:rPr>
      <w:kern w:val="2"/>
      <w:sz w:val="18"/>
      <w:szCs w:val="18"/>
    </w:rPr>
  </w:style>
  <w:style w:type="paragraph" w:customStyle="1" w:styleId="afd">
    <w:name w:val="封面一致性程度标识"/>
    <w:qFormat/>
    <w:pPr>
      <w:spacing w:before="440" w:line="400" w:lineRule="exact"/>
      <w:jc w:val="center"/>
    </w:pPr>
    <w:rPr>
      <w:rFonts w:ascii="宋体"/>
      <w:sz w:val="28"/>
    </w:rPr>
  </w:style>
  <w:style w:type="paragraph" w:customStyle="1" w:styleId="afe">
    <w:name w:val="附录图标题"/>
    <w:next w:val="af8"/>
    <w:qFormat/>
    <w:pPr>
      <w:tabs>
        <w:tab w:val="left" w:pos="360"/>
      </w:tabs>
      <w:spacing w:line="360" w:lineRule="auto"/>
      <w:jc w:val="center"/>
    </w:pPr>
    <w:rPr>
      <w:rFonts w:ascii="黑体" w:eastAsia="黑体"/>
      <w:sz w:val="21"/>
    </w:rPr>
  </w:style>
  <w:style w:type="paragraph" w:customStyle="1" w:styleId="aff">
    <w:name w:val="注×："/>
    <w:qFormat/>
    <w:pPr>
      <w:widowControl w:val="0"/>
      <w:tabs>
        <w:tab w:val="left" w:pos="630"/>
      </w:tabs>
      <w:autoSpaceDE w:val="0"/>
      <w:autoSpaceDN w:val="0"/>
      <w:spacing w:line="360" w:lineRule="auto"/>
      <w:ind w:left="900" w:hanging="500"/>
      <w:jc w:val="both"/>
    </w:pPr>
    <w:rPr>
      <w:rFonts w:ascii="宋体"/>
      <w:sz w:val="18"/>
    </w:rPr>
  </w:style>
  <w:style w:type="paragraph" w:customStyle="1" w:styleId="aff0">
    <w:name w:val="附录四级条标题"/>
    <w:basedOn w:val="aff1"/>
    <w:next w:val="af8"/>
    <w:qFormat/>
    <w:pPr>
      <w:outlineLvl w:val="5"/>
    </w:pPr>
  </w:style>
  <w:style w:type="paragraph" w:customStyle="1" w:styleId="aff1">
    <w:name w:val="附录三级条标题"/>
    <w:basedOn w:val="aff2"/>
    <w:next w:val="af8"/>
    <w:qFormat/>
    <w:pPr>
      <w:outlineLvl w:val="4"/>
    </w:pPr>
  </w:style>
  <w:style w:type="paragraph" w:customStyle="1" w:styleId="aff2">
    <w:name w:val="附录二级条标题"/>
    <w:basedOn w:val="aff3"/>
    <w:next w:val="af8"/>
    <w:qFormat/>
    <w:pPr>
      <w:outlineLvl w:val="3"/>
    </w:pPr>
  </w:style>
  <w:style w:type="paragraph" w:customStyle="1" w:styleId="aff3">
    <w:name w:val="附录一级条标题"/>
    <w:basedOn w:val="aff4"/>
    <w:next w:val="af8"/>
    <w:qFormat/>
    <w:pPr>
      <w:autoSpaceDN w:val="0"/>
      <w:spacing w:beforeLines="0" w:afterLines="0"/>
      <w:outlineLvl w:val="2"/>
    </w:pPr>
  </w:style>
  <w:style w:type="paragraph" w:customStyle="1" w:styleId="aff4">
    <w:name w:val="附录章标题"/>
    <w:next w:val="af8"/>
    <w:qFormat/>
    <w:pPr>
      <w:wordWrap w:val="0"/>
      <w:overflowPunct w:val="0"/>
      <w:autoSpaceDE w:val="0"/>
      <w:spacing w:beforeLines="50" w:afterLines="50" w:line="360" w:lineRule="auto"/>
      <w:jc w:val="both"/>
      <w:textAlignment w:val="baseline"/>
      <w:outlineLvl w:val="1"/>
    </w:pPr>
    <w:rPr>
      <w:rFonts w:ascii="黑体" w:eastAsia="黑体"/>
      <w:kern w:val="21"/>
      <w:sz w:val="21"/>
    </w:rPr>
  </w:style>
  <w:style w:type="paragraph" w:customStyle="1" w:styleId="aff5">
    <w:name w:val="标准书脚_偶数页"/>
    <w:qFormat/>
    <w:pPr>
      <w:spacing w:before="120" w:line="360" w:lineRule="auto"/>
      <w:jc w:val="both"/>
    </w:pPr>
    <w:rPr>
      <w:sz w:val="18"/>
    </w:rPr>
  </w:style>
  <w:style w:type="paragraph" w:customStyle="1" w:styleId="aff6">
    <w:name w:val="列项◆（三级）"/>
    <w:qFormat/>
    <w:pPr>
      <w:tabs>
        <w:tab w:val="left" w:pos="960"/>
      </w:tabs>
      <w:spacing w:line="360" w:lineRule="auto"/>
      <w:ind w:leftChars="600" w:left="800" w:hangingChars="200" w:hanging="200"/>
      <w:jc w:val="both"/>
    </w:pPr>
    <w:rPr>
      <w:rFonts w:ascii="宋体"/>
      <w:sz w:val="21"/>
    </w:rPr>
  </w:style>
  <w:style w:type="paragraph" w:customStyle="1" w:styleId="aff7">
    <w:name w:val="条文脚注"/>
    <w:basedOn w:val="ac"/>
    <w:qFormat/>
    <w:pPr>
      <w:ind w:leftChars="200" w:left="780" w:hangingChars="200" w:hanging="360"/>
      <w:jc w:val="both"/>
    </w:pPr>
    <w:rPr>
      <w:rFonts w:ascii="宋体"/>
    </w:rPr>
  </w:style>
  <w:style w:type="paragraph" w:customStyle="1" w:styleId="aff8">
    <w:name w:val="示例"/>
    <w:next w:val="af8"/>
    <w:qFormat/>
    <w:pPr>
      <w:tabs>
        <w:tab w:val="left" w:pos="816"/>
      </w:tabs>
      <w:spacing w:line="360" w:lineRule="auto"/>
      <w:ind w:firstLineChars="233" w:firstLine="419"/>
      <w:jc w:val="both"/>
    </w:pPr>
    <w:rPr>
      <w:rFonts w:ascii="宋体"/>
      <w:sz w:val="18"/>
    </w:rPr>
  </w:style>
  <w:style w:type="paragraph" w:customStyle="1" w:styleId="11">
    <w:name w:val="封面标准号1"/>
    <w:qFormat/>
    <w:pPr>
      <w:widowControl w:val="0"/>
      <w:kinsoku w:val="0"/>
      <w:overflowPunct w:val="0"/>
      <w:autoSpaceDE w:val="0"/>
      <w:autoSpaceDN w:val="0"/>
      <w:spacing w:before="308" w:line="360" w:lineRule="auto"/>
      <w:jc w:val="right"/>
      <w:textAlignment w:val="center"/>
    </w:pPr>
    <w:rPr>
      <w:sz w:val="28"/>
    </w:rPr>
  </w:style>
  <w:style w:type="paragraph" w:customStyle="1" w:styleId="Default">
    <w:name w:val="Default"/>
    <w:qFormat/>
    <w:pPr>
      <w:widowControl w:val="0"/>
      <w:autoSpaceDE w:val="0"/>
      <w:autoSpaceDN w:val="0"/>
      <w:spacing w:line="360" w:lineRule="auto"/>
      <w:jc w:val="both"/>
    </w:pPr>
    <w:rPr>
      <w:rFonts w:ascii="宋体" w:hAnsi="宋体" w:hint="eastAsia"/>
      <w:color w:val="000000"/>
      <w:sz w:val="24"/>
    </w:rPr>
  </w:style>
  <w:style w:type="paragraph" w:customStyle="1" w:styleId="aff9">
    <w:name w:val="编号列项（三级）"/>
    <w:qFormat/>
    <w:pPr>
      <w:spacing w:line="360" w:lineRule="auto"/>
      <w:ind w:leftChars="600" w:left="800" w:hangingChars="200" w:hanging="200"/>
      <w:jc w:val="both"/>
    </w:pPr>
    <w:rPr>
      <w:rFonts w:ascii="宋体"/>
      <w:sz w:val="21"/>
    </w:rPr>
  </w:style>
  <w:style w:type="paragraph" w:customStyle="1" w:styleId="affa">
    <w:name w:val="五级条标题"/>
    <w:basedOn w:val="affb"/>
    <w:next w:val="af8"/>
    <w:qFormat/>
    <w:pPr>
      <w:outlineLvl w:val="6"/>
    </w:pPr>
  </w:style>
  <w:style w:type="paragraph" w:customStyle="1" w:styleId="affb">
    <w:name w:val="四级条标题"/>
    <w:basedOn w:val="affc"/>
    <w:next w:val="af8"/>
    <w:qFormat/>
    <w:pPr>
      <w:outlineLvl w:val="5"/>
    </w:pPr>
  </w:style>
  <w:style w:type="paragraph" w:customStyle="1" w:styleId="affc">
    <w:name w:val="三级条标题"/>
    <w:basedOn w:val="af6"/>
    <w:next w:val="af8"/>
    <w:qFormat/>
    <w:pPr>
      <w:ind w:left="0"/>
      <w:outlineLvl w:val="4"/>
    </w:pPr>
  </w:style>
  <w:style w:type="paragraph" w:customStyle="1" w:styleId="affd">
    <w:name w:val="封面标准文稿类别"/>
    <w:qFormat/>
    <w:pPr>
      <w:spacing w:before="440" w:line="400" w:lineRule="exact"/>
      <w:jc w:val="center"/>
    </w:pPr>
    <w:rPr>
      <w:rFonts w:ascii="宋体"/>
      <w:sz w:val="24"/>
    </w:rPr>
  </w:style>
  <w:style w:type="paragraph" w:customStyle="1" w:styleId="affe">
    <w:name w:val="章标题"/>
    <w:next w:val="af8"/>
    <w:qFormat/>
    <w:pPr>
      <w:tabs>
        <w:tab w:val="left" w:pos="360"/>
      </w:tabs>
      <w:spacing w:beforeLines="50" w:afterLines="50" w:line="360" w:lineRule="auto"/>
      <w:jc w:val="both"/>
      <w:outlineLvl w:val="1"/>
    </w:pPr>
    <w:rPr>
      <w:rFonts w:ascii="黑体" w:eastAsia="黑体"/>
      <w:sz w:val="21"/>
    </w:rPr>
  </w:style>
  <w:style w:type="paragraph" w:customStyle="1" w:styleId="afff">
    <w:name w:val="封面标准文稿编辑信息"/>
    <w:qFormat/>
    <w:pPr>
      <w:spacing w:before="180" w:line="180" w:lineRule="exact"/>
      <w:jc w:val="center"/>
    </w:pPr>
    <w:rPr>
      <w:rFonts w:ascii="宋体"/>
      <w:sz w:val="21"/>
    </w:rPr>
  </w:style>
  <w:style w:type="paragraph" w:customStyle="1" w:styleId="afff0">
    <w:name w:val="文献分类号"/>
    <w:qFormat/>
    <w:pPr>
      <w:widowControl w:val="0"/>
      <w:spacing w:line="360" w:lineRule="auto"/>
      <w:jc w:val="both"/>
      <w:textAlignment w:val="center"/>
    </w:pPr>
    <w:rPr>
      <w:rFonts w:eastAsia="黑体"/>
      <w:sz w:val="21"/>
    </w:rPr>
  </w:style>
  <w:style w:type="paragraph" w:customStyle="1" w:styleId="afff1">
    <w:name w:val="实施日期"/>
    <w:basedOn w:val="afff2"/>
    <w:qFormat/>
    <w:pPr>
      <w:jc w:val="right"/>
    </w:pPr>
  </w:style>
  <w:style w:type="paragraph" w:customStyle="1" w:styleId="afff2">
    <w:name w:val="发布日期"/>
    <w:qFormat/>
    <w:pPr>
      <w:spacing w:line="360" w:lineRule="auto"/>
      <w:jc w:val="both"/>
    </w:pPr>
    <w:rPr>
      <w:rFonts w:eastAsia="黑体"/>
      <w:sz w:val="28"/>
    </w:rPr>
  </w:style>
  <w:style w:type="paragraph" w:customStyle="1" w:styleId="afff3">
    <w:name w:val="数字编号列项（二级）"/>
    <w:qFormat/>
    <w:pPr>
      <w:spacing w:line="360" w:lineRule="auto"/>
      <w:ind w:leftChars="400" w:left="1260" w:hangingChars="200" w:hanging="420"/>
      <w:jc w:val="both"/>
    </w:pPr>
    <w:rPr>
      <w:rFonts w:ascii="宋体"/>
      <w:sz w:val="21"/>
    </w:rPr>
  </w:style>
  <w:style w:type="paragraph" w:customStyle="1" w:styleId="afff4">
    <w:name w:val="发布部门"/>
    <w:next w:val="af8"/>
    <w:qFormat/>
    <w:pPr>
      <w:spacing w:line="360" w:lineRule="auto"/>
      <w:jc w:val="center"/>
    </w:pPr>
    <w:rPr>
      <w:rFonts w:ascii="宋体"/>
      <w:b/>
      <w:spacing w:val="20"/>
      <w:w w:val="135"/>
      <w:sz w:val="36"/>
    </w:rPr>
  </w:style>
  <w:style w:type="paragraph" w:customStyle="1" w:styleId="afff5">
    <w:name w:val="列项——（一级）"/>
    <w:qFormat/>
    <w:pPr>
      <w:widowControl w:val="0"/>
      <w:tabs>
        <w:tab w:val="left" w:pos="854"/>
      </w:tabs>
      <w:spacing w:line="360" w:lineRule="auto"/>
      <w:ind w:leftChars="200" w:left="840" w:hangingChars="200" w:hanging="420"/>
      <w:jc w:val="both"/>
    </w:pPr>
    <w:rPr>
      <w:rFonts w:ascii="宋体"/>
      <w:sz w:val="21"/>
    </w:rPr>
  </w:style>
  <w:style w:type="paragraph" w:customStyle="1" w:styleId="afff6">
    <w:name w:val="目次、索引正文"/>
    <w:qFormat/>
    <w:pPr>
      <w:spacing w:line="320" w:lineRule="exact"/>
      <w:jc w:val="both"/>
    </w:pPr>
    <w:rPr>
      <w:rFonts w:ascii="宋体"/>
      <w:sz w:val="21"/>
    </w:rPr>
  </w:style>
  <w:style w:type="paragraph" w:customStyle="1" w:styleId="Style70">
    <w:name w:val="_Style 70"/>
    <w:basedOn w:val="a"/>
    <w:next w:val="a6"/>
    <w:qFormat/>
    <w:pPr>
      <w:ind w:firstLineChars="200" w:firstLine="560"/>
    </w:pPr>
    <w:rPr>
      <w:sz w:val="28"/>
    </w:rPr>
  </w:style>
  <w:style w:type="paragraph" w:customStyle="1" w:styleId="afff7">
    <w:name w:val="封面正文"/>
    <w:qFormat/>
    <w:pPr>
      <w:spacing w:line="360" w:lineRule="auto"/>
      <w:jc w:val="both"/>
    </w:pPr>
  </w:style>
  <w:style w:type="paragraph" w:customStyle="1" w:styleId="afff8">
    <w:name w:val="正文表标题"/>
    <w:next w:val="af8"/>
    <w:qFormat/>
    <w:pPr>
      <w:spacing w:line="360" w:lineRule="auto"/>
      <w:jc w:val="center"/>
    </w:pPr>
    <w:rPr>
      <w:rFonts w:ascii="黑体" w:eastAsia="黑体"/>
      <w:sz w:val="21"/>
    </w:rPr>
  </w:style>
  <w:style w:type="paragraph" w:customStyle="1" w:styleId="afff9">
    <w:name w:val="标准书脚_奇数页"/>
    <w:qFormat/>
    <w:pPr>
      <w:spacing w:before="120" w:line="360" w:lineRule="auto"/>
      <w:jc w:val="right"/>
    </w:pPr>
    <w:rPr>
      <w:sz w:val="18"/>
    </w:rPr>
  </w:style>
  <w:style w:type="paragraph" w:customStyle="1" w:styleId="afffa">
    <w:name w:val="其他标准称谓"/>
    <w:qFormat/>
    <w:pPr>
      <w:spacing w:line="0" w:lineRule="atLeast"/>
      <w:jc w:val="distribute"/>
    </w:pPr>
    <w:rPr>
      <w:rFonts w:ascii="黑体" w:eastAsia="黑体" w:hAnsi="宋体"/>
      <w:sz w:val="52"/>
    </w:rPr>
  </w:style>
  <w:style w:type="paragraph" w:customStyle="1" w:styleId="afffb">
    <w:name w:val="标准书眉_奇数页"/>
    <w:next w:val="a"/>
    <w:pPr>
      <w:tabs>
        <w:tab w:val="center" w:pos="4154"/>
        <w:tab w:val="right" w:pos="8306"/>
      </w:tabs>
      <w:spacing w:after="120" w:line="360" w:lineRule="auto"/>
      <w:jc w:val="right"/>
    </w:pPr>
    <w:rPr>
      <w:sz w:val="21"/>
    </w:rPr>
  </w:style>
  <w:style w:type="paragraph" w:customStyle="1" w:styleId="afffc">
    <w:name w:val="正文图标题"/>
    <w:next w:val="af8"/>
    <w:qFormat/>
    <w:pPr>
      <w:spacing w:line="360" w:lineRule="auto"/>
      <w:jc w:val="center"/>
    </w:pPr>
    <w:rPr>
      <w:rFonts w:ascii="黑体" w:eastAsia="黑体"/>
      <w:sz w:val="21"/>
    </w:rPr>
  </w:style>
  <w:style w:type="paragraph" w:customStyle="1" w:styleId="afffd">
    <w:name w:val="其他发布部门"/>
    <w:basedOn w:val="afff4"/>
    <w:qFormat/>
    <w:pPr>
      <w:spacing w:line="0" w:lineRule="atLeast"/>
    </w:pPr>
    <w:rPr>
      <w:rFonts w:ascii="黑体" w:eastAsia="黑体"/>
      <w:b w:val="0"/>
    </w:rPr>
  </w:style>
  <w:style w:type="paragraph" w:customStyle="1" w:styleId="afffe">
    <w:name w:val="封面标准代替信息"/>
    <w:basedOn w:val="20"/>
    <w:qFormat/>
    <w:pPr>
      <w:spacing w:before="57"/>
    </w:pPr>
    <w:rPr>
      <w:rFonts w:ascii="宋体"/>
      <w:sz w:val="21"/>
    </w:rPr>
  </w:style>
  <w:style w:type="paragraph" w:customStyle="1" w:styleId="20">
    <w:name w:val="封面标准号2"/>
    <w:basedOn w:val="11"/>
    <w:pPr>
      <w:adjustRightInd w:val="0"/>
      <w:spacing w:before="357" w:line="280" w:lineRule="exact"/>
    </w:pPr>
  </w:style>
  <w:style w:type="paragraph" w:customStyle="1" w:styleId="affff">
    <w:name w:val="目次、标准名称标题"/>
    <w:basedOn w:val="affff0"/>
    <w:next w:val="af8"/>
    <w:pPr>
      <w:spacing w:line="460" w:lineRule="exact"/>
    </w:pPr>
  </w:style>
  <w:style w:type="paragraph" w:customStyle="1" w:styleId="affff0">
    <w:name w:val="前言、引言标题"/>
    <w:next w:val="a"/>
    <w:qFormat/>
    <w:pPr>
      <w:shd w:val="clear" w:color="FFFFFF" w:fill="FFFFFF"/>
      <w:spacing w:before="640" w:after="560" w:line="360" w:lineRule="auto"/>
      <w:jc w:val="center"/>
      <w:outlineLvl w:val="0"/>
    </w:pPr>
    <w:rPr>
      <w:rFonts w:ascii="黑体" w:eastAsia="黑体"/>
      <w:sz w:val="32"/>
    </w:rPr>
  </w:style>
  <w:style w:type="paragraph" w:customStyle="1" w:styleId="Normal2">
    <w:name w:val="Normal+2"/>
    <w:basedOn w:val="Default"/>
    <w:next w:val="Default"/>
    <w:qFormat/>
    <w:pPr>
      <w:adjustRightInd w:val="0"/>
    </w:pPr>
    <w:rPr>
      <w:rFonts w:ascii="Times New Roman" w:hAnsi="Times New Roman" w:hint="default"/>
      <w:color w:val="auto"/>
      <w:szCs w:val="24"/>
    </w:rPr>
  </w:style>
  <w:style w:type="paragraph" w:customStyle="1" w:styleId="affff1">
    <w:name w:val="图表脚注"/>
    <w:next w:val="af8"/>
    <w:pPr>
      <w:spacing w:line="360" w:lineRule="auto"/>
      <w:ind w:leftChars="200" w:left="300" w:hangingChars="100" w:hanging="100"/>
      <w:jc w:val="both"/>
    </w:pPr>
    <w:rPr>
      <w:rFonts w:ascii="宋体"/>
      <w:sz w:val="18"/>
    </w:rPr>
  </w:style>
  <w:style w:type="paragraph" w:customStyle="1" w:styleId="affff2">
    <w:name w:val="参考文献、索引标题"/>
    <w:basedOn w:val="affff0"/>
    <w:next w:val="a"/>
    <w:pPr>
      <w:spacing w:after="200"/>
    </w:pPr>
    <w:rPr>
      <w:sz w:val="21"/>
    </w:rPr>
  </w:style>
  <w:style w:type="paragraph" w:customStyle="1" w:styleId="affff3">
    <w:name w:val="标准称谓"/>
    <w:next w:val="a"/>
    <w:pPr>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CharCharChar1CharCharCharCharCharCharChar">
    <w:name w:val="Char Char Char1 Char Char Char Char Char Char Char"/>
    <w:basedOn w:val="a"/>
    <w:pPr>
      <w:spacing w:after="160" w:line="240" w:lineRule="exact"/>
      <w:jc w:val="left"/>
    </w:pPr>
    <w:rPr>
      <w:rFonts w:ascii="Verdana" w:hAnsi="Verdana"/>
      <w:kern w:val="0"/>
      <w:sz w:val="20"/>
      <w:szCs w:val="20"/>
      <w:lang w:eastAsia="en-US"/>
    </w:rPr>
  </w:style>
  <w:style w:type="paragraph" w:customStyle="1" w:styleId="CharCharCharCharCharChar1CharCharChar">
    <w:name w:val="Char Char Char Char Char Char1 Char Char Char"/>
    <w:basedOn w:val="a"/>
    <w:pPr>
      <w:ind w:firstLineChars="200" w:firstLine="200"/>
    </w:pPr>
    <w:rPr>
      <w:rFonts w:ascii="宋体" w:hAnsi="宋体" w:cs="宋体"/>
      <w:sz w:val="24"/>
    </w:rPr>
  </w:style>
  <w:style w:type="paragraph" w:customStyle="1" w:styleId="affff4">
    <w:name w:val="列项●（二级）"/>
    <w:pPr>
      <w:tabs>
        <w:tab w:val="left" w:pos="840"/>
      </w:tabs>
      <w:spacing w:line="360" w:lineRule="auto"/>
      <w:ind w:leftChars="400" w:left="600" w:hangingChars="200" w:hanging="200"/>
      <w:jc w:val="both"/>
    </w:pPr>
    <w:rPr>
      <w:rFonts w:ascii="宋体"/>
      <w:sz w:val="21"/>
    </w:rPr>
  </w:style>
  <w:style w:type="paragraph" w:customStyle="1" w:styleId="affff5">
    <w:name w:val="附录表标题"/>
    <w:next w:val="af8"/>
    <w:pPr>
      <w:tabs>
        <w:tab w:val="left" w:pos="360"/>
      </w:tabs>
      <w:spacing w:line="360" w:lineRule="auto"/>
      <w:jc w:val="center"/>
      <w:textAlignment w:val="baseline"/>
    </w:pPr>
    <w:rPr>
      <w:rFonts w:ascii="黑体" w:eastAsia="黑体"/>
      <w:kern w:val="21"/>
      <w:sz w:val="21"/>
    </w:rPr>
  </w:style>
  <w:style w:type="paragraph" w:customStyle="1" w:styleId="affff6">
    <w:name w:val="封面标准英文名称"/>
    <w:qFormat/>
    <w:pPr>
      <w:widowControl w:val="0"/>
      <w:spacing w:before="370" w:line="400" w:lineRule="exact"/>
      <w:jc w:val="center"/>
    </w:pPr>
    <w:rPr>
      <w:sz w:val="28"/>
    </w:rPr>
  </w:style>
  <w:style w:type="paragraph" w:customStyle="1" w:styleId="affff7">
    <w:name w:val="标准书眉一"/>
    <w:pPr>
      <w:spacing w:line="360" w:lineRule="auto"/>
      <w:jc w:val="both"/>
    </w:pPr>
  </w:style>
  <w:style w:type="paragraph" w:customStyle="1" w:styleId="Style31">
    <w:name w:val="_Style 31"/>
    <w:basedOn w:val="a"/>
    <w:pPr>
      <w:spacing w:after="160" w:line="240" w:lineRule="exact"/>
      <w:jc w:val="left"/>
    </w:pPr>
  </w:style>
  <w:style w:type="paragraph" w:customStyle="1" w:styleId="affff8">
    <w:name w:val="附录标识"/>
    <w:basedOn w:val="affff0"/>
    <w:pPr>
      <w:tabs>
        <w:tab w:val="left" w:pos="6405"/>
      </w:tabs>
      <w:spacing w:after="200"/>
    </w:pPr>
    <w:rPr>
      <w:sz w:val="21"/>
    </w:rPr>
  </w:style>
  <w:style w:type="paragraph" w:customStyle="1" w:styleId="affff9">
    <w:name w:val="封面标准名称"/>
    <w:pPr>
      <w:widowControl w:val="0"/>
      <w:spacing w:line="680" w:lineRule="exact"/>
      <w:jc w:val="center"/>
      <w:textAlignment w:val="center"/>
    </w:pPr>
    <w:rPr>
      <w:rFonts w:ascii="黑体" w:eastAsia="黑体"/>
      <w:sz w:val="52"/>
    </w:rPr>
  </w:style>
  <w:style w:type="paragraph" w:customStyle="1" w:styleId="affffa">
    <w:name w:val="标准标志"/>
    <w:next w:val="a"/>
    <w:pPr>
      <w:shd w:val="solid" w:color="FFFFFF" w:fill="FFFFFF"/>
      <w:spacing w:line="0" w:lineRule="atLeast"/>
      <w:jc w:val="right"/>
    </w:pPr>
    <w:rPr>
      <w:b/>
      <w:w w:val="130"/>
      <w:sz w:val="96"/>
    </w:rPr>
  </w:style>
  <w:style w:type="paragraph" w:customStyle="1" w:styleId="affffb">
    <w:name w:val="附录五级条标题"/>
    <w:basedOn w:val="aff0"/>
    <w:next w:val="af8"/>
    <w:pPr>
      <w:outlineLvl w:val="6"/>
    </w:pPr>
  </w:style>
  <w:style w:type="paragraph" w:customStyle="1" w:styleId="affffc">
    <w:name w:val="字母编号列项（一级）"/>
    <w:pPr>
      <w:spacing w:line="360" w:lineRule="auto"/>
      <w:ind w:leftChars="200" w:left="840" w:hangingChars="200" w:hanging="420"/>
      <w:jc w:val="both"/>
    </w:pPr>
    <w:rPr>
      <w:rFonts w:ascii="宋体"/>
      <w:sz w:val="21"/>
    </w:rPr>
  </w:style>
  <w:style w:type="paragraph" w:customStyle="1" w:styleId="affffd">
    <w:name w:val="标准书眉_偶数页"/>
    <w:basedOn w:val="afffb"/>
    <w:next w:val="a"/>
    <w:qFormat/>
    <w:pPr>
      <w:jc w:val="left"/>
    </w:pPr>
  </w:style>
  <w:style w:type="paragraph" w:customStyle="1" w:styleId="12">
    <w:name w:val="修订1"/>
    <w:hidden/>
    <w:uiPriority w:val="99"/>
    <w:unhideWhenUsed/>
    <w:rPr>
      <w:kern w:val="2"/>
      <w:sz w:val="21"/>
      <w:szCs w:val="24"/>
    </w:rPr>
  </w:style>
  <w:style w:type="character" w:customStyle="1" w:styleId="doc-header-title">
    <w:name w:val="doc-header-title"/>
  </w:style>
  <w:style w:type="character" w:customStyle="1" w:styleId="doctitle">
    <w:name w:val="doc_title"/>
  </w:style>
  <w:style w:type="character" w:customStyle="1" w:styleId="a5">
    <w:name w:val="批注文字 字符"/>
    <w:link w:val="a4"/>
    <w:uiPriority w:val="99"/>
    <w:rPr>
      <w:kern w:val="2"/>
      <w:sz w:val="21"/>
      <w:szCs w:val="24"/>
    </w:rPr>
  </w:style>
  <w:style w:type="paragraph" w:customStyle="1" w:styleId="TOC10">
    <w:name w:val="TOC 标题1"/>
    <w:basedOn w:val="1"/>
    <w:next w:val="a"/>
    <w:uiPriority w:val="39"/>
    <w:unhideWhenUsed/>
    <w:qFormat/>
    <w:pPr>
      <w:spacing w:before="240" w:after="0" w:line="259" w:lineRule="auto"/>
      <w:jc w:val="left"/>
      <w:outlineLvl w:val="9"/>
    </w:pPr>
    <w:rPr>
      <w:rFonts w:ascii="等线 Light" w:eastAsia="等线 Light" w:hAnsi="等线 Light"/>
      <w:b w:val="0"/>
      <w:bCs w:val="0"/>
      <w:color w:val="2F5496"/>
      <w:kern w:val="0"/>
      <w:sz w:val="32"/>
      <w:szCs w:val="32"/>
    </w:rPr>
  </w:style>
  <w:style w:type="paragraph" w:styleId="affffe">
    <w:name w:val="List Paragraph"/>
    <w:basedOn w:val="a"/>
    <w:qFormat/>
    <w:pPr>
      <w:widowControl w:val="0"/>
      <w:spacing w:line="240" w:lineRule="auto"/>
      <w:ind w:firstLineChars="200" w:firstLine="420"/>
    </w:pPr>
    <w:rPr>
      <w:rFonts w:ascii="Calibri" w:hAnsi="Calibri"/>
      <w:szCs w:val="22"/>
    </w:rPr>
  </w:style>
  <w:style w:type="character" w:customStyle="1" w:styleId="Char1">
    <w:name w:val="段 Char"/>
    <w:link w:val="af8"/>
    <w:rPr>
      <w:rFonts w:ascii="宋体"/>
      <w:sz w:val="21"/>
    </w:rPr>
  </w:style>
  <w:style w:type="character" w:styleId="afffff">
    <w:name w:val="Placeholder Text"/>
    <w:basedOn w:val="a0"/>
    <w:uiPriority w:val="99"/>
    <w:unhideWhenUsed/>
    <w:rPr>
      <w:color w:val="808080"/>
    </w:rPr>
  </w:style>
  <w:style w:type="character" w:customStyle="1" w:styleId="30">
    <w:name w:val="标题 3 字符"/>
    <w:basedOn w:val="a0"/>
    <w:link w:val="3"/>
    <w:rPr>
      <w:b/>
      <w:bCs/>
      <w:kern w:val="2"/>
      <w:sz w:val="32"/>
      <w:szCs w:val="32"/>
    </w:rPr>
  </w:style>
  <w:style w:type="character" w:customStyle="1" w:styleId="tsname">
    <w:name w:val="tsname"/>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3.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jpeg"/><Relationship Id="rId25" Type="http://schemas.openxmlformats.org/officeDocument/2006/relationships/image" Target="media/image10.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Visio___1.vsdx"/><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9.jpeg"/><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image" Target="media/image8.jpeg"/><Relationship Id="rId28" Type="http://schemas.openxmlformats.org/officeDocument/2006/relationships/image" Target="media/image13.jpeg"/><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8"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35"/>
    <customShpInfo spid="_x0000_s1034"/>
    <customShpInfo spid="_x0000_s1033"/>
    <customShpInfo spid="_x0000_s1032"/>
    <customShpInfo spid="_x0000_s1031"/>
    <customShpInfo spid="_x0000_s1030"/>
    <customShpInfo spid="_x0000_s1029"/>
    <customShpInfo spid="_x0000_s1028"/>
    <customShpInfo spid="_x0000_s1027"/>
    <customShpInfo spid="_x0000_s1036"/>
  </customShpExts>
</s:customData>
</file>

<file path=customXml/itemProps1.xml><?xml version="1.0" encoding="utf-8"?>
<ds:datastoreItem xmlns:ds="http://schemas.openxmlformats.org/officeDocument/2006/customXml" ds:itemID="{740504E5-F9CE-4BE6-AECD-EA7C0130235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1081</Words>
  <Characters>6164</Characters>
  <Application>Microsoft Office Word</Application>
  <DocSecurity>0</DocSecurity>
  <Lines>51</Lines>
  <Paragraphs>14</Paragraphs>
  <ScaleCrop>false</ScaleCrop>
  <Company>Lenovo</Company>
  <LinksUpToDate>false</LinksUpToDate>
  <CharactersWithSpaces>7231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tianhui</dc:creator>
  <cp:lastModifiedBy>郑 顺安</cp:lastModifiedBy>
  <cp:revision>15</cp:revision>
  <cp:lastPrinted>2021-06-15T05:35:00Z</cp:lastPrinted>
  <dcterms:created xsi:type="dcterms:W3CDTF">2021-05-26T04:30:00Z</dcterms:created>
  <dcterms:modified xsi:type="dcterms:W3CDTF">2021-06-15T06:21:00Z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DS属性">
    <vt:lpwstr>TDS 2.0 Document</vt:lpwstr>
  </property>
  <property fmtid="{D5CDD505-2E9C-101B-9397-08002B2CF9AE}" pid="3" name="KSOProductBuildVer">
    <vt:lpwstr>2052-11.1.0.10495</vt:lpwstr>
  </property>
  <property fmtid="{D5CDD505-2E9C-101B-9397-08002B2CF9AE}" pid="4" name="MTWinEqns">
    <vt:bool>true</vt:bool>
  </property>
  <property fmtid="{D5CDD505-2E9C-101B-9397-08002B2CF9AE}" pid="5" name="ICV">
    <vt:lpwstr>A5BEB99AF25046C689BDAD99EC0E661A</vt:lpwstr>
  </property>
</Properties>
</file>